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A24" w:rsidRDefault="000B5A24" w:rsidP="000B5A24">
      <w:pPr>
        <w:spacing w:after="0" w:line="273" w:lineRule="atLeast"/>
        <w:textAlignment w:val="baseline"/>
        <w:rPr>
          <w:rFonts w:ascii="Times New Roman" w:eastAsia="Times New Roman" w:hAnsi="Times New Roman" w:cs="Times New Roman"/>
          <w:color w:val="000000" w:themeColor="text1"/>
          <w:sz w:val="24"/>
          <w:szCs w:val="24"/>
          <w:lang w:eastAsia="ru-RU"/>
        </w:rPr>
      </w:pPr>
    </w:p>
    <w:p w:rsidR="00113568" w:rsidRPr="00113568" w:rsidRDefault="00113568" w:rsidP="00113568">
      <w:pPr>
        <w:shd w:val="clear" w:color="auto" w:fill="FFFFFF"/>
        <w:spacing w:after="0" w:line="338" w:lineRule="atLeast"/>
        <w:jc w:val="center"/>
        <w:rPr>
          <w:rFonts w:ascii="Calibri" w:eastAsia="Times New Roman" w:hAnsi="Calibri" w:cs="Calibri"/>
          <w:color w:val="000000"/>
          <w:sz w:val="24"/>
          <w:szCs w:val="24"/>
          <w:lang w:eastAsia="ru-RU"/>
        </w:rPr>
      </w:pPr>
      <w:r w:rsidRPr="00113568">
        <w:rPr>
          <w:rFonts w:ascii="Times New Roman" w:eastAsia="Times New Roman" w:hAnsi="Times New Roman" w:cs="Times New Roman"/>
          <w:b/>
          <w:bCs/>
          <w:color w:val="000000"/>
          <w:sz w:val="28"/>
          <w:szCs w:val="28"/>
          <w:lang w:eastAsia="ru-RU"/>
        </w:rPr>
        <w:t>АССОЦИАЦИЯ «НАЦИОНАЛЬНОЕ ОБЪЕДИНЕНИЕ СТРОИТЕЛЕЙ»</w:t>
      </w:r>
    </w:p>
    <w:p w:rsidR="00113568" w:rsidRPr="00113568" w:rsidRDefault="00113568" w:rsidP="00113568">
      <w:pPr>
        <w:shd w:val="clear" w:color="auto" w:fill="FFFFFF"/>
        <w:spacing w:after="0" w:line="360" w:lineRule="atLeast"/>
        <w:jc w:val="center"/>
        <w:rPr>
          <w:rFonts w:ascii="Calibri" w:eastAsia="Times New Roman" w:hAnsi="Calibri" w:cs="Calibri"/>
          <w:color w:val="000000"/>
          <w:sz w:val="24"/>
          <w:szCs w:val="24"/>
          <w:lang w:eastAsia="ru-RU"/>
        </w:rPr>
      </w:pPr>
      <w:r w:rsidRPr="00113568">
        <w:rPr>
          <w:rFonts w:ascii="Calibri" w:eastAsia="Times New Roman" w:hAnsi="Calibri" w:cs="Calibri"/>
          <w:color w:val="000000"/>
          <w:sz w:val="24"/>
          <w:szCs w:val="24"/>
          <w:lang w:eastAsia="ru-RU"/>
        </w:rPr>
        <w:t> </w:t>
      </w:r>
    </w:p>
    <w:p w:rsidR="00113568" w:rsidRPr="00113568" w:rsidRDefault="00113568" w:rsidP="00113568">
      <w:pPr>
        <w:shd w:val="clear" w:color="auto" w:fill="FFFFFF"/>
        <w:spacing w:after="0" w:line="338" w:lineRule="atLeast"/>
        <w:jc w:val="center"/>
        <w:rPr>
          <w:rFonts w:ascii="Calibri" w:eastAsia="Times New Roman" w:hAnsi="Calibri" w:cs="Calibri"/>
          <w:color w:val="000000"/>
          <w:sz w:val="24"/>
          <w:szCs w:val="24"/>
          <w:lang w:eastAsia="ru-RU"/>
        </w:rPr>
      </w:pPr>
      <w:r w:rsidRPr="00113568">
        <w:rPr>
          <w:rFonts w:ascii="Times New Roman" w:eastAsia="Times New Roman" w:hAnsi="Times New Roman" w:cs="Times New Roman"/>
          <w:b/>
          <w:bCs/>
          <w:color w:val="000000"/>
          <w:sz w:val="28"/>
          <w:szCs w:val="28"/>
          <w:lang w:eastAsia="ru-RU"/>
        </w:rPr>
        <w:t>Пояснительная записка к Проекту Финансового плана по развитию направлений на 2021 год</w:t>
      </w:r>
    </w:p>
    <w:p w:rsidR="00113568" w:rsidRPr="00113568" w:rsidRDefault="00113568" w:rsidP="00113568">
      <w:pPr>
        <w:shd w:val="clear" w:color="auto" w:fill="FFFFFF"/>
        <w:spacing w:after="0" w:line="338" w:lineRule="atLeast"/>
        <w:jc w:val="center"/>
        <w:rPr>
          <w:rFonts w:ascii="Calibri" w:eastAsia="Times New Roman" w:hAnsi="Calibri" w:cs="Calibri"/>
          <w:color w:val="000000"/>
          <w:sz w:val="24"/>
          <w:szCs w:val="24"/>
          <w:lang w:eastAsia="ru-RU"/>
        </w:rPr>
      </w:pPr>
      <w:r w:rsidRPr="00113568">
        <w:rPr>
          <w:rFonts w:ascii="Calibri" w:eastAsia="Times New Roman" w:hAnsi="Calibri" w:cs="Calibri"/>
          <w:color w:val="000000"/>
          <w:sz w:val="24"/>
          <w:szCs w:val="24"/>
          <w:lang w:eastAsia="ru-RU"/>
        </w:rPr>
        <w:t> </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Основные принципы формирования проекта Финансового плана по развитию направлений на 2021 год (далее – Финансовый план):</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1. Доходная часть проекта Финансового плана рассчитана исходя из 92 000 членов саморегулируемых организаций по установленному размеру взноса - 5 тыс. рублей в год за одного члена СРО.</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В доходную часть включены предполагаемые доходы от начала работы системы независимой оценки квалификаций (по «добровольному сценарию») в объеме 30,9 млн рублей в год. </w:t>
      </w:r>
    </w:p>
    <w:tbl>
      <w:tblPr>
        <w:tblW w:w="0" w:type="auto"/>
        <w:tblInd w:w="-118" w:type="dxa"/>
        <w:tblCellMar>
          <w:left w:w="0" w:type="dxa"/>
          <w:right w:w="0" w:type="dxa"/>
        </w:tblCellMar>
        <w:tblLook w:val="04A0" w:firstRow="1" w:lastRow="0" w:firstColumn="1" w:lastColumn="0" w:noHBand="0" w:noVBand="1"/>
      </w:tblPr>
      <w:tblGrid>
        <w:gridCol w:w="4500"/>
        <w:gridCol w:w="1740"/>
        <w:gridCol w:w="3135"/>
      </w:tblGrid>
      <w:tr w:rsidR="00113568" w:rsidRPr="00113568" w:rsidTr="00113568">
        <w:tc>
          <w:tcPr>
            <w:tcW w:w="4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3568" w:rsidRPr="00113568" w:rsidRDefault="00113568" w:rsidP="00113568">
            <w:pPr>
              <w:spacing w:after="0" w:line="360" w:lineRule="atLeast"/>
              <w:jc w:val="both"/>
              <w:rPr>
                <w:rFonts w:ascii="Calibri" w:eastAsia="Times New Roman" w:hAnsi="Calibri" w:cs="Calibri"/>
                <w:sz w:val="24"/>
                <w:szCs w:val="24"/>
                <w:lang w:eastAsia="ru-RU"/>
              </w:rPr>
            </w:pPr>
            <w:r w:rsidRPr="00113568">
              <w:rPr>
                <w:rFonts w:ascii="Times New Roman" w:eastAsia="Times New Roman" w:hAnsi="Times New Roman" w:cs="Times New Roman"/>
                <w:color w:val="000000"/>
                <w:sz w:val="28"/>
                <w:szCs w:val="28"/>
                <w:lang w:eastAsia="ru-RU"/>
              </w:rPr>
              <w:t>Проверка и обработка результатов профессионального экзамена в рамках независимой оценки квалификации в строительстве</w:t>
            </w:r>
          </w:p>
        </w:tc>
        <w:tc>
          <w:tcPr>
            <w:tcW w:w="17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13568" w:rsidRPr="00113568" w:rsidRDefault="00113568" w:rsidP="00113568">
            <w:pPr>
              <w:spacing w:after="0" w:line="360" w:lineRule="atLeast"/>
              <w:jc w:val="both"/>
              <w:rPr>
                <w:rFonts w:ascii="Calibri" w:eastAsia="Times New Roman" w:hAnsi="Calibri" w:cs="Calibri"/>
                <w:sz w:val="24"/>
                <w:szCs w:val="24"/>
                <w:lang w:eastAsia="ru-RU"/>
              </w:rPr>
            </w:pPr>
            <w:r w:rsidRPr="00113568">
              <w:rPr>
                <w:rFonts w:ascii="Times New Roman" w:eastAsia="Times New Roman" w:hAnsi="Times New Roman" w:cs="Times New Roman"/>
                <w:color w:val="000000"/>
                <w:sz w:val="28"/>
                <w:szCs w:val="28"/>
                <w:lang w:eastAsia="ru-RU"/>
              </w:rPr>
              <w:t>10 000 000</w:t>
            </w:r>
          </w:p>
        </w:tc>
        <w:tc>
          <w:tcPr>
            <w:tcW w:w="31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13568" w:rsidRPr="00113568" w:rsidRDefault="00113568" w:rsidP="00113568">
            <w:pPr>
              <w:spacing w:after="0" w:line="360" w:lineRule="atLeast"/>
              <w:jc w:val="both"/>
              <w:rPr>
                <w:rFonts w:ascii="Calibri" w:eastAsia="Times New Roman" w:hAnsi="Calibri" w:cs="Calibri"/>
                <w:sz w:val="24"/>
                <w:szCs w:val="24"/>
                <w:lang w:eastAsia="ru-RU"/>
              </w:rPr>
            </w:pPr>
            <w:r w:rsidRPr="00113568">
              <w:rPr>
                <w:rFonts w:ascii="Times New Roman" w:eastAsia="Times New Roman" w:hAnsi="Times New Roman" w:cs="Times New Roman"/>
                <w:color w:val="000000"/>
                <w:sz w:val="28"/>
                <w:szCs w:val="28"/>
                <w:lang w:eastAsia="ru-RU"/>
              </w:rPr>
              <w:t>Цена экзамена 1 000 * количество соискателей 10 000</w:t>
            </w:r>
          </w:p>
        </w:tc>
      </w:tr>
      <w:tr w:rsidR="00113568" w:rsidRPr="00113568" w:rsidTr="00113568">
        <w:tc>
          <w:tcPr>
            <w:tcW w:w="4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3568" w:rsidRPr="00113568" w:rsidRDefault="00113568" w:rsidP="00113568">
            <w:pPr>
              <w:spacing w:after="0" w:line="360" w:lineRule="atLeast"/>
              <w:jc w:val="both"/>
              <w:rPr>
                <w:rFonts w:ascii="Calibri" w:eastAsia="Times New Roman" w:hAnsi="Calibri" w:cs="Calibri"/>
                <w:sz w:val="24"/>
                <w:szCs w:val="24"/>
                <w:lang w:eastAsia="ru-RU"/>
              </w:rPr>
            </w:pPr>
            <w:r w:rsidRPr="00113568">
              <w:rPr>
                <w:rFonts w:ascii="Times New Roman" w:eastAsia="Times New Roman" w:hAnsi="Times New Roman" w:cs="Times New Roman"/>
                <w:color w:val="000000"/>
                <w:sz w:val="28"/>
                <w:szCs w:val="28"/>
                <w:lang w:eastAsia="ru-RU"/>
              </w:rPr>
              <w:t>Рассмотрение документов и организация документальных и/или выездных проверок (исключая СРО)</w:t>
            </w:r>
          </w:p>
        </w:tc>
        <w:tc>
          <w:tcPr>
            <w:tcW w:w="1740" w:type="dxa"/>
            <w:tcBorders>
              <w:top w:val="nil"/>
              <w:left w:val="nil"/>
              <w:bottom w:val="single" w:sz="8" w:space="0" w:color="000000"/>
              <w:right w:val="single" w:sz="8" w:space="0" w:color="000000"/>
            </w:tcBorders>
            <w:tcMar>
              <w:top w:w="0" w:type="dxa"/>
              <w:left w:w="108" w:type="dxa"/>
              <w:bottom w:w="0" w:type="dxa"/>
              <w:right w:w="108" w:type="dxa"/>
            </w:tcMar>
            <w:hideMark/>
          </w:tcPr>
          <w:p w:rsidR="00113568" w:rsidRPr="00113568" w:rsidRDefault="00113568" w:rsidP="00113568">
            <w:pPr>
              <w:spacing w:after="0" w:line="360" w:lineRule="atLeast"/>
              <w:jc w:val="both"/>
              <w:rPr>
                <w:rFonts w:ascii="Calibri" w:eastAsia="Times New Roman" w:hAnsi="Calibri" w:cs="Calibri"/>
                <w:sz w:val="24"/>
                <w:szCs w:val="24"/>
                <w:lang w:eastAsia="ru-RU"/>
              </w:rPr>
            </w:pPr>
            <w:r w:rsidRPr="00113568">
              <w:rPr>
                <w:rFonts w:ascii="Times New Roman" w:eastAsia="Times New Roman" w:hAnsi="Times New Roman" w:cs="Times New Roman"/>
                <w:color w:val="000000"/>
                <w:sz w:val="28"/>
                <w:szCs w:val="28"/>
                <w:lang w:eastAsia="ru-RU"/>
              </w:rPr>
              <w:t>15 900 000</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113568" w:rsidRPr="00113568" w:rsidRDefault="00113568" w:rsidP="00113568">
            <w:pPr>
              <w:spacing w:after="0" w:line="360" w:lineRule="atLeast"/>
              <w:jc w:val="both"/>
              <w:rPr>
                <w:rFonts w:ascii="Calibri" w:eastAsia="Times New Roman" w:hAnsi="Calibri" w:cs="Calibri"/>
                <w:sz w:val="24"/>
                <w:szCs w:val="24"/>
                <w:lang w:eastAsia="ru-RU"/>
              </w:rPr>
            </w:pPr>
            <w:r w:rsidRPr="00113568">
              <w:rPr>
                <w:rFonts w:ascii="Times New Roman" w:eastAsia="Times New Roman" w:hAnsi="Times New Roman" w:cs="Times New Roman"/>
                <w:color w:val="000000"/>
                <w:sz w:val="28"/>
                <w:szCs w:val="28"/>
                <w:lang w:eastAsia="ru-RU"/>
              </w:rPr>
              <w:t>Стоимость проверки 300 000 * количество проверок 53</w:t>
            </w:r>
          </w:p>
        </w:tc>
      </w:tr>
      <w:tr w:rsidR="00113568" w:rsidRPr="00113568" w:rsidTr="00113568">
        <w:tc>
          <w:tcPr>
            <w:tcW w:w="4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3568" w:rsidRPr="00113568" w:rsidRDefault="00113568" w:rsidP="00113568">
            <w:pPr>
              <w:spacing w:after="0" w:line="360" w:lineRule="atLeast"/>
              <w:jc w:val="both"/>
              <w:rPr>
                <w:rFonts w:ascii="Calibri" w:eastAsia="Times New Roman" w:hAnsi="Calibri" w:cs="Calibri"/>
                <w:sz w:val="24"/>
                <w:szCs w:val="24"/>
                <w:lang w:eastAsia="ru-RU"/>
              </w:rPr>
            </w:pPr>
            <w:r w:rsidRPr="00113568">
              <w:rPr>
                <w:rFonts w:ascii="Times New Roman" w:eastAsia="Times New Roman" w:hAnsi="Times New Roman" w:cs="Times New Roman"/>
                <w:color w:val="000000"/>
                <w:sz w:val="28"/>
                <w:szCs w:val="28"/>
                <w:lang w:eastAsia="ru-RU"/>
              </w:rPr>
              <w:t>Организация проведения аттестации экспертов</w:t>
            </w:r>
          </w:p>
        </w:tc>
        <w:tc>
          <w:tcPr>
            <w:tcW w:w="1740" w:type="dxa"/>
            <w:tcBorders>
              <w:top w:val="nil"/>
              <w:left w:val="nil"/>
              <w:bottom w:val="single" w:sz="8" w:space="0" w:color="000000"/>
              <w:right w:val="single" w:sz="8" w:space="0" w:color="000000"/>
            </w:tcBorders>
            <w:tcMar>
              <w:top w:w="0" w:type="dxa"/>
              <w:left w:w="108" w:type="dxa"/>
              <w:bottom w:w="0" w:type="dxa"/>
              <w:right w:w="108" w:type="dxa"/>
            </w:tcMar>
            <w:hideMark/>
          </w:tcPr>
          <w:p w:rsidR="00113568" w:rsidRPr="00113568" w:rsidRDefault="00113568" w:rsidP="00113568">
            <w:pPr>
              <w:spacing w:after="0" w:line="360" w:lineRule="atLeast"/>
              <w:jc w:val="both"/>
              <w:rPr>
                <w:rFonts w:ascii="Calibri" w:eastAsia="Times New Roman" w:hAnsi="Calibri" w:cs="Calibri"/>
                <w:sz w:val="24"/>
                <w:szCs w:val="24"/>
                <w:lang w:eastAsia="ru-RU"/>
              </w:rPr>
            </w:pPr>
            <w:r w:rsidRPr="00113568">
              <w:rPr>
                <w:rFonts w:ascii="Times New Roman" w:eastAsia="Times New Roman" w:hAnsi="Times New Roman" w:cs="Times New Roman"/>
                <w:color w:val="000000"/>
                <w:sz w:val="28"/>
                <w:szCs w:val="28"/>
                <w:lang w:eastAsia="ru-RU"/>
              </w:rPr>
              <w:t>2 385 000</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113568" w:rsidRPr="00113568" w:rsidRDefault="00113568" w:rsidP="00113568">
            <w:pPr>
              <w:spacing w:after="0" w:line="360" w:lineRule="atLeast"/>
              <w:jc w:val="both"/>
              <w:rPr>
                <w:rFonts w:ascii="Calibri" w:eastAsia="Times New Roman" w:hAnsi="Calibri" w:cs="Calibri"/>
                <w:sz w:val="24"/>
                <w:szCs w:val="24"/>
                <w:lang w:eastAsia="ru-RU"/>
              </w:rPr>
            </w:pPr>
            <w:r w:rsidRPr="00113568">
              <w:rPr>
                <w:rFonts w:ascii="Times New Roman" w:eastAsia="Times New Roman" w:hAnsi="Times New Roman" w:cs="Times New Roman"/>
                <w:color w:val="000000"/>
                <w:sz w:val="28"/>
                <w:szCs w:val="28"/>
                <w:lang w:eastAsia="ru-RU"/>
              </w:rPr>
              <w:t>Цена аттестации 15 000 * количество ЦОК * 3 эксперта на 1 ЦОК</w:t>
            </w:r>
          </w:p>
        </w:tc>
      </w:tr>
      <w:tr w:rsidR="00113568" w:rsidRPr="00113568" w:rsidTr="00113568">
        <w:tc>
          <w:tcPr>
            <w:tcW w:w="4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3568" w:rsidRPr="00113568" w:rsidRDefault="00113568" w:rsidP="00113568">
            <w:pPr>
              <w:spacing w:after="0" w:line="360" w:lineRule="atLeast"/>
              <w:jc w:val="both"/>
              <w:rPr>
                <w:rFonts w:ascii="Calibri" w:eastAsia="Times New Roman" w:hAnsi="Calibri" w:cs="Calibri"/>
                <w:sz w:val="24"/>
                <w:szCs w:val="24"/>
                <w:lang w:eastAsia="ru-RU"/>
              </w:rPr>
            </w:pPr>
            <w:r w:rsidRPr="00113568">
              <w:rPr>
                <w:rFonts w:ascii="Times New Roman" w:eastAsia="Times New Roman" w:hAnsi="Times New Roman" w:cs="Times New Roman"/>
                <w:color w:val="000000"/>
                <w:sz w:val="28"/>
                <w:szCs w:val="28"/>
                <w:lang w:eastAsia="ru-RU"/>
              </w:rPr>
              <w:t>Подключение к программно-аппаратному комплексу (исключая СРО)</w:t>
            </w:r>
          </w:p>
        </w:tc>
        <w:tc>
          <w:tcPr>
            <w:tcW w:w="1740" w:type="dxa"/>
            <w:tcBorders>
              <w:top w:val="nil"/>
              <w:left w:val="nil"/>
              <w:bottom w:val="single" w:sz="8" w:space="0" w:color="000000"/>
              <w:right w:val="single" w:sz="8" w:space="0" w:color="000000"/>
            </w:tcBorders>
            <w:tcMar>
              <w:top w:w="0" w:type="dxa"/>
              <w:left w:w="108" w:type="dxa"/>
              <w:bottom w:w="0" w:type="dxa"/>
              <w:right w:w="108" w:type="dxa"/>
            </w:tcMar>
            <w:hideMark/>
          </w:tcPr>
          <w:p w:rsidR="00113568" w:rsidRPr="00113568" w:rsidRDefault="00113568" w:rsidP="00113568">
            <w:pPr>
              <w:spacing w:after="0" w:line="360" w:lineRule="atLeast"/>
              <w:jc w:val="both"/>
              <w:rPr>
                <w:rFonts w:ascii="Calibri" w:eastAsia="Times New Roman" w:hAnsi="Calibri" w:cs="Calibri"/>
                <w:sz w:val="24"/>
                <w:szCs w:val="24"/>
                <w:lang w:eastAsia="ru-RU"/>
              </w:rPr>
            </w:pPr>
            <w:r w:rsidRPr="00113568">
              <w:rPr>
                <w:rFonts w:ascii="Times New Roman" w:eastAsia="Times New Roman" w:hAnsi="Times New Roman" w:cs="Times New Roman"/>
                <w:color w:val="000000"/>
                <w:sz w:val="28"/>
                <w:szCs w:val="28"/>
                <w:lang w:eastAsia="ru-RU"/>
              </w:rPr>
              <w:t>2 650 000</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113568" w:rsidRPr="00113568" w:rsidRDefault="00113568" w:rsidP="00113568">
            <w:pPr>
              <w:spacing w:after="0" w:line="360" w:lineRule="atLeast"/>
              <w:jc w:val="both"/>
              <w:rPr>
                <w:rFonts w:ascii="Calibri" w:eastAsia="Times New Roman" w:hAnsi="Calibri" w:cs="Calibri"/>
                <w:sz w:val="24"/>
                <w:szCs w:val="24"/>
                <w:lang w:eastAsia="ru-RU"/>
              </w:rPr>
            </w:pPr>
            <w:r w:rsidRPr="00113568">
              <w:rPr>
                <w:rFonts w:ascii="Times New Roman" w:eastAsia="Times New Roman" w:hAnsi="Times New Roman" w:cs="Times New Roman"/>
                <w:color w:val="000000"/>
                <w:sz w:val="28"/>
                <w:szCs w:val="28"/>
                <w:lang w:eastAsia="ru-RU"/>
              </w:rPr>
              <w:t>Стоимость подключения 50 000 * количество ЦОК 53</w:t>
            </w:r>
          </w:p>
        </w:tc>
      </w:tr>
      <w:tr w:rsidR="00113568" w:rsidRPr="00113568" w:rsidTr="00113568">
        <w:tc>
          <w:tcPr>
            <w:tcW w:w="4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3568" w:rsidRPr="00113568" w:rsidRDefault="00113568" w:rsidP="00113568">
            <w:pPr>
              <w:spacing w:after="0" w:line="360" w:lineRule="atLeast"/>
              <w:jc w:val="both"/>
              <w:rPr>
                <w:rFonts w:ascii="Calibri" w:eastAsia="Times New Roman" w:hAnsi="Calibri" w:cs="Calibri"/>
                <w:sz w:val="24"/>
                <w:szCs w:val="24"/>
                <w:lang w:eastAsia="ru-RU"/>
              </w:rPr>
            </w:pPr>
            <w:r w:rsidRPr="00113568">
              <w:rPr>
                <w:rFonts w:ascii="Times New Roman" w:eastAsia="Times New Roman" w:hAnsi="Times New Roman" w:cs="Times New Roman"/>
                <w:b/>
                <w:bCs/>
                <w:color w:val="000000"/>
                <w:sz w:val="28"/>
                <w:szCs w:val="28"/>
                <w:lang w:eastAsia="ru-RU"/>
              </w:rPr>
              <w:t>ИТОГО ДОХОД</w:t>
            </w:r>
          </w:p>
        </w:tc>
        <w:tc>
          <w:tcPr>
            <w:tcW w:w="1740" w:type="dxa"/>
            <w:tcBorders>
              <w:top w:val="nil"/>
              <w:left w:val="nil"/>
              <w:bottom w:val="single" w:sz="8" w:space="0" w:color="000000"/>
              <w:right w:val="single" w:sz="8" w:space="0" w:color="000000"/>
            </w:tcBorders>
            <w:tcMar>
              <w:top w:w="0" w:type="dxa"/>
              <w:left w:w="108" w:type="dxa"/>
              <w:bottom w:w="0" w:type="dxa"/>
              <w:right w:w="108" w:type="dxa"/>
            </w:tcMar>
            <w:hideMark/>
          </w:tcPr>
          <w:p w:rsidR="00113568" w:rsidRPr="00113568" w:rsidRDefault="00113568" w:rsidP="00113568">
            <w:pPr>
              <w:spacing w:after="0" w:line="360" w:lineRule="atLeast"/>
              <w:jc w:val="both"/>
              <w:rPr>
                <w:rFonts w:ascii="Calibri" w:eastAsia="Times New Roman" w:hAnsi="Calibri" w:cs="Calibri"/>
                <w:sz w:val="24"/>
                <w:szCs w:val="24"/>
                <w:lang w:eastAsia="ru-RU"/>
              </w:rPr>
            </w:pPr>
            <w:r w:rsidRPr="00113568">
              <w:rPr>
                <w:rFonts w:ascii="Times New Roman" w:eastAsia="Times New Roman" w:hAnsi="Times New Roman" w:cs="Times New Roman"/>
                <w:b/>
                <w:bCs/>
                <w:color w:val="000000"/>
                <w:sz w:val="28"/>
                <w:szCs w:val="28"/>
                <w:lang w:eastAsia="ru-RU"/>
              </w:rPr>
              <w:t>30 935 000</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Calibri" w:eastAsia="Times New Roman" w:hAnsi="Calibri" w:cs="Calibri"/>
                <w:sz w:val="24"/>
                <w:szCs w:val="24"/>
                <w:lang w:eastAsia="ru-RU"/>
              </w:rPr>
              <w:t> </w:t>
            </w:r>
          </w:p>
        </w:tc>
      </w:tr>
    </w:tbl>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Calibri" w:eastAsia="Times New Roman" w:hAnsi="Calibri" w:cs="Calibri"/>
          <w:color w:val="000000"/>
          <w:sz w:val="24"/>
          <w:szCs w:val="24"/>
          <w:lang w:eastAsia="ru-RU"/>
        </w:rPr>
        <w:t> </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В проект Финансового плана не включены переходящие денежные остатки по причине предполагаемого исчерпания резерва Совета к концу 2020 года. </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2. Расходная часть Финансового плана предполагает увеличение финансирования по ряду статей в связи с расширением функционала по некоторым целевым направлениям деятельности Ассоциации.</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Предлагаем рассмотреть обоснование увеличения в разрезе каждой статьи проекта.</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В области технического регулирования и стандартизации:</w:t>
      </w:r>
    </w:p>
    <w:p w:rsidR="00113568" w:rsidRPr="00113568" w:rsidRDefault="00113568" w:rsidP="00113568">
      <w:pPr>
        <w:shd w:val="clear" w:color="auto" w:fill="FFFFFF"/>
        <w:spacing w:after="0" w:line="360" w:lineRule="atLeast"/>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lastRenderedPageBreak/>
        <w:t>- </w:t>
      </w:r>
      <w:r w:rsidRPr="00113568">
        <w:rPr>
          <w:rFonts w:ascii="Times New Roman" w:eastAsia="Times New Roman" w:hAnsi="Times New Roman" w:cs="Times New Roman"/>
          <w:i/>
          <w:iCs/>
          <w:color w:val="000000"/>
          <w:sz w:val="28"/>
          <w:szCs w:val="28"/>
          <w:lang w:eastAsia="ru-RU"/>
        </w:rPr>
        <w:t>Мониторинг применения и разработка предложений по совершенствованию законодательства о техническом регулировании, стандартизации и оценке соответствия в области строительства – с 1 608 668 рублей в 2020 году до 5 000 000 рублей в 2021 году.</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Ассоциация возобновила сотрудничество с ТК 400 «Типовые технологические процессы. Производство работ в строительстве».</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Указанные средства планируется направить на софинансирование разработки национальных стандартов и сводов правил по строительству, формирование реестра нормативных документов в строительстве.</w:t>
      </w:r>
    </w:p>
    <w:p w:rsidR="00113568" w:rsidRPr="00113568" w:rsidRDefault="00113568" w:rsidP="00113568">
      <w:pPr>
        <w:shd w:val="clear" w:color="auto" w:fill="FFFFFF"/>
        <w:spacing w:after="0" w:line="360" w:lineRule="atLeast"/>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i/>
          <w:iCs/>
          <w:color w:val="000000"/>
          <w:sz w:val="28"/>
          <w:szCs w:val="28"/>
          <w:lang w:eastAsia="ru-RU"/>
        </w:rPr>
        <w:t>- Реализация мероприятий по актуализации, разработке и утверждению стандартов на процессы выполнения работ – 17 000 000 рублей в 2021 году (при заложенном на 2020 год уровне в 15 млн рублей).</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В 2020 году запланированы работы по проведению комплексного исследования фонда стандартов Ассоциации. По результатам исследования будут выработаны предложения по актуализации или переработке фонда документов Системы стандартизации НОСТРОЙ и разработке новых документов.</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Указанные средства предполагается направить на обновление фонда стандартов Ассоциации: разработку новых стандартов, актуализацию существующих стандартов, экспертизу в профильных технических комитетах по стандартизации (ТК 400, ТК 465 и пр.), независимую экспертизу согласно решений Технического совета Ассоциации.</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Также планируется проведение обучающих мероприятий, посвященных контролю за исполнением стандартов на процессы выполнения работ, повышение квалификации на базе Росстандарта, проведение выездных заседаний Технического совета, совместных совещаний, исполнение решений Технического Совета, например, на проведение экспертизы документов, направленных на совершенствование системы технического регулирования в строительстве.</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Также после завершения реформы контрольно-надзорной деятельности («регуляторной гильотины») 01.01.2021 может возникнуть необходимость разработки новых документов по техническому регулированию и стандартизации в строительстве, с учетом ожидаемых изменений в Постановление Правительства Российской Федерации № 1521.</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Calibri" w:eastAsia="Times New Roman" w:hAnsi="Calibri" w:cs="Calibri"/>
          <w:color w:val="000000"/>
          <w:sz w:val="24"/>
          <w:szCs w:val="24"/>
          <w:lang w:eastAsia="ru-RU"/>
        </w:rPr>
        <w:t> </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В области системы ценообразования:</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i/>
          <w:iCs/>
          <w:color w:val="000000"/>
          <w:sz w:val="28"/>
          <w:szCs w:val="28"/>
          <w:lang w:eastAsia="ru-RU"/>
        </w:rPr>
        <w:t>- Участие в работе по совершенствованию системы ценообразования 37 637 000 рублей (в 2020 году в смете было предусмотрено 3 млн рублей).</w:t>
      </w:r>
    </w:p>
    <w:tbl>
      <w:tblPr>
        <w:tblW w:w="0" w:type="auto"/>
        <w:tblInd w:w="-118" w:type="dxa"/>
        <w:tblCellMar>
          <w:left w:w="0" w:type="dxa"/>
          <w:right w:w="0" w:type="dxa"/>
        </w:tblCellMar>
        <w:tblLook w:val="04A0" w:firstRow="1" w:lastRow="0" w:firstColumn="1" w:lastColumn="0" w:noHBand="0" w:noVBand="1"/>
      </w:tblPr>
      <w:tblGrid>
        <w:gridCol w:w="543"/>
        <w:gridCol w:w="3480"/>
        <w:gridCol w:w="2760"/>
        <w:gridCol w:w="2580"/>
      </w:tblGrid>
      <w:tr w:rsidR="00113568" w:rsidRPr="00113568" w:rsidTr="00113568">
        <w:tc>
          <w:tcPr>
            <w:tcW w:w="375" w:type="dxa"/>
            <w:tcBorders>
              <w:top w:val="single" w:sz="8" w:space="0" w:color="A49D73"/>
              <w:left w:val="single" w:sz="8" w:space="0" w:color="A49D73"/>
              <w:bottom w:val="single" w:sz="8" w:space="0" w:color="A49D73"/>
              <w:right w:val="single" w:sz="8" w:space="0" w:color="A49D73"/>
            </w:tcBorders>
            <w:shd w:val="clear" w:color="auto" w:fill="DEEDD5"/>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b/>
                <w:bCs/>
                <w:color w:val="053123"/>
                <w:lang w:eastAsia="ru-RU"/>
              </w:rPr>
              <w:t>№ п/п</w:t>
            </w:r>
          </w:p>
        </w:tc>
        <w:tc>
          <w:tcPr>
            <w:tcW w:w="3480" w:type="dxa"/>
            <w:tcBorders>
              <w:top w:val="single" w:sz="8" w:space="0" w:color="A49D73"/>
              <w:left w:val="nil"/>
              <w:bottom w:val="single" w:sz="8" w:space="0" w:color="A49D73"/>
              <w:right w:val="single" w:sz="8" w:space="0" w:color="A49D73"/>
            </w:tcBorders>
            <w:shd w:val="clear" w:color="auto" w:fill="DEEDD5"/>
            <w:tcMar>
              <w:top w:w="0" w:type="dxa"/>
              <w:left w:w="108" w:type="dxa"/>
              <w:bottom w:w="0" w:type="dxa"/>
              <w:right w:w="108" w:type="dxa"/>
            </w:tcMar>
            <w:hideMark/>
          </w:tcPr>
          <w:p w:rsidR="00113568" w:rsidRPr="00113568" w:rsidRDefault="00113568" w:rsidP="00113568">
            <w:pPr>
              <w:spacing w:after="0" w:line="240" w:lineRule="auto"/>
              <w:ind w:firstLine="883"/>
              <w:rPr>
                <w:rFonts w:ascii="Calibri" w:eastAsia="Times New Roman" w:hAnsi="Calibri" w:cs="Calibri"/>
                <w:sz w:val="24"/>
                <w:szCs w:val="24"/>
                <w:lang w:eastAsia="ru-RU"/>
              </w:rPr>
            </w:pPr>
            <w:r w:rsidRPr="00113568">
              <w:rPr>
                <w:rFonts w:ascii="Arial" w:eastAsia="Times New Roman" w:hAnsi="Arial" w:cs="Arial"/>
                <w:b/>
                <w:bCs/>
                <w:color w:val="053123"/>
                <w:lang w:eastAsia="ru-RU"/>
              </w:rPr>
              <w:t>Наименование мероприятия</w:t>
            </w:r>
          </w:p>
        </w:tc>
        <w:tc>
          <w:tcPr>
            <w:tcW w:w="2760" w:type="dxa"/>
            <w:tcBorders>
              <w:top w:val="single" w:sz="8" w:space="0" w:color="A49D73"/>
              <w:left w:val="nil"/>
              <w:bottom w:val="single" w:sz="8" w:space="0" w:color="A49D73"/>
              <w:right w:val="single" w:sz="8" w:space="0" w:color="A49D73"/>
            </w:tcBorders>
            <w:shd w:val="clear" w:color="auto" w:fill="DEEDD5"/>
            <w:tcMar>
              <w:top w:w="0" w:type="dxa"/>
              <w:left w:w="108" w:type="dxa"/>
              <w:bottom w:w="0" w:type="dxa"/>
              <w:right w:w="108" w:type="dxa"/>
            </w:tcMar>
            <w:hideMark/>
          </w:tcPr>
          <w:p w:rsidR="00113568" w:rsidRPr="00113568" w:rsidRDefault="00113568" w:rsidP="00113568">
            <w:pPr>
              <w:spacing w:after="0" w:line="240" w:lineRule="auto"/>
              <w:ind w:firstLine="883"/>
              <w:rPr>
                <w:rFonts w:ascii="Calibri" w:eastAsia="Times New Roman" w:hAnsi="Calibri" w:cs="Calibri"/>
                <w:sz w:val="24"/>
                <w:szCs w:val="24"/>
                <w:lang w:eastAsia="ru-RU"/>
              </w:rPr>
            </w:pPr>
            <w:r w:rsidRPr="00113568">
              <w:rPr>
                <w:rFonts w:ascii="Arial" w:eastAsia="Times New Roman" w:hAnsi="Arial" w:cs="Arial"/>
                <w:b/>
                <w:bCs/>
                <w:color w:val="053123"/>
                <w:lang w:eastAsia="ru-RU"/>
              </w:rPr>
              <w:t>Комментарии</w:t>
            </w:r>
          </w:p>
        </w:tc>
        <w:tc>
          <w:tcPr>
            <w:tcW w:w="2580" w:type="dxa"/>
            <w:tcBorders>
              <w:top w:val="single" w:sz="8" w:space="0" w:color="A49D73"/>
              <w:left w:val="nil"/>
              <w:bottom w:val="single" w:sz="8" w:space="0" w:color="A49D73"/>
              <w:right w:val="single" w:sz="8" w:space="0" w:color="A49D73"/>
            </w:tcBorders>
            <w:shd w:val="clear" w:color="auto" w:fill="DEEDD5"/>
            <w:tcMar>
              <w:top w:w="0" w:type="dxa"/>
              <w:left w:w="108" w:type="dxa"/>
              <w:bottom w:w="0" w:type="dxa"/>
              <w:right w:w="108" w:type="dxa"/>
            </w:tcMar>
            <w:vAlign w:val="cente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b/>
                <w:bCs/>
                <w:color w:val="053123"/>
                <w:lang w:eastAsia="ru-RU"/>
              </w:rPr>
              <w:t>Затраты НОСТРОЙ</w:t>
            </w:r>
          </w:p>
        </w:tc>
      </w:tr>
      <w:tr w:rsidR="00113568" w:rsidRPr="00113568" w:rsidTr="00113568">
        <w:tc>
          <w:tcPr>
            <w:tcW w:w="375" w:type="dxa"/>
            <w:tcBorders>
              <w:top w:val="nil"/>
              <w:left w:val="single" w:sz="8" w:space="0" w:color="A49D73"/>
              <w:bottom w:val="single" w:sz="8" w:space="0" w:color="A49D73"/>
              <w:right w:val="single" w:sz="8" w:space="0" w:color="A49D73"/>
            </w:tcBorders>
            <w:shd w:val="clear" w:color="auto" w:fill="DEEDD5"/>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b/>
                <w:bCs/>
                <w:color w:val="053123"/>
                <w:lang w:eastAsia="ru-RU"/>
              </w:rPr>
              <w:t>1</w:t>
            </w:r>
          </w:p>
        </w:tc>
        <w:tc>
          <w:tcPr>
            <w:tcW w:w="3480" w:type="dxa"/>
            <w:tcBorders>
              <w:top w:val="nil"/>
              <w:left w:val="nil"/>
              <w:bottom w:val="single" w:sz="8" w:space="0" w:color="A49D73"/>
              <w:right w:val="single" w:sz="8" w:space="0" w:color="A49D73"/>
            </w:tcBorders>
            <w:shd w:val="clear" w:color="auto" w:fill="DEEDD5"/>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b/>
                <w:bCs/>
                <w:color w:val="053123"/>
                <w:lang w:eastAsia="ru-RU"/>
              </w:rPr>
              <w:t>2</w:t>
            </w:r>
          </w:p>
        </w:tc>
        <w:tc>
          <w:tcPr>
            <w:tcW w:w="2760" w:type="dxa"/>
            <w:tcBorders>
              <w:top w:val="nil"/>
              <w:left w:val="nil"/>
              <w:bottom w:val="single" w:sz="8" w:space="0" w:color="A49D73"/>
              <w:right w:val="single" w:sz="8" w:space="0" w:color="A49D73"/>
            </w:tcBorders>
            <w:shd w:val="clear" w:color="auto" w:fill="DEEDD5"/>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Calibri" w:eastAsia="Times New Roman" w:hAnsi="Calibri" w:cs="Calibri"/>
                <w:sz w:val="24"/>
                <w:szCs w:val="24"/>
                <w:lang w:eastAsia="ru-RU"/>
              </w:rPr>
              <w:t> </w:t>
            </w:r>
          </w:p>
        </w:tc>
        <w:tc>
          <w:tcPr>
            <w:tcW w:w="2580" w:type="dxa"/>
            <w:tcBorders>
              <w:top w:val="nil"/>
              <w:left w:val="nil"/>
              <w:bottom w:val="single" w:sz="8" w:space="0" w:color="A49D73"/>
              <w:right w:val="single" w:sz="8" w:space="0" w:color="A49D73"/>
            </w:tcBorders>
            <w:shd w:val="clear" w:color="auto" w:fill="DEEDD5"/>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b/>
                <w:bCs/>
                <w:color w:val="053123"/>
                <w:lang w:eastAsia="ru-RU"/>
              </w:rPr>
              <w:t>4</w:t>
            </w:r>
          </w:p>
        </w:tc>
      </w:tr>
      <w:tr w:rsidR="00113568" w:rsidRPr="00113568" w:rsidTr="00113568">
        <w:tc>
          <w:tcPr>
            <w:tcW w:w="375" w:type="dxa"/>
            <w:tcBorders>
              <w:top w:val="nil"/>
              <w:left w:val="single" w:sz="8" w:space="0" w:color="A49D73"/>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color w:val="000000"/>
                <w:lang w:eastAsia="ru-RU"/>
              </w:rPr>
              <w:lastRenderedPageBreak/>
              <w:t>1</w:t>
            </w:r>
          </w:p>
        </w:tc>
        <w:tc>
          <w:tcPr>
            <w:tcW w:w="348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lang w:eastAsia="ru-RU"/>
              </w:rPr>
              <w:t>Организация разработки сметных норм</w:t>
            </w:r>
          </w:p>
        </w:tc>
        <w:tc>
          <w:tcPr>
            <w:tcW w:w="2760" w:type="dxa"/>
            <w:vMerge w:val="restart"/>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color w:val="000000"/>
                <w:lang w:eastAsia="ru-RU"/>
              </w:rPr>
              <w:t>На условиях софинансирования НОСТРОЙ 50% / заинтересованные лица 50% (СРО, строительные компании, производственные компании)</w:t>
            </w:r>
          </w:p>
        </w:tc>
        <w:tc>
          <w:tcPr>
            <w:tcW w:w="2580" w:type="dxa"/>
            <w:vMerge w:val="restart"/>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color w:val="000000"/>
                <w:lang w:eastAsia="ru-RU"/>
              </w:rPr>
              <w:t>10 000 000,00</w:t>
            </w:r>
          </w:p>
        </w:tc>
      </w:tr>
      <w:tr w:rsidR="00113568" w:rsidRPr="00113568" w:rsidTr="00113568">
        <w:tc>
          <w:tcPr>
            <w:tcW w:w="375" w:type="dxa"/>
            <w:tcBorders>
              <w:top w:val="nil"/>
              <w:left w:val="single" w:sz="8" w:space="0" w:color="A49D73"/>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color w:val="000000"/>
                <w:lang w:eastAsia="ru-RU"/>
              </w:rPr>
              <w:t>1.1</w:t>
            </w:r>
          </w:p>
        </w:tc>
        <w:tc>
          <w:tcPr>
            <w:tcW w:w="348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lang w:eastAsia="ru-RU"/>
              </w:rPr>
              <w:t>Актуализация существующих сметных норм, имеющих существенное занижение</w:t>
            </w:r>
          </w:p>
        </w:tc>
        <w:tc>
          <w:tcPr>
            <w:tcW w:w="0" w:type="auto"/>
            <w:vMerge/>
            <w:tcBorders>
              <w:top w:val="nil"/>
              <w:left w:val="nil"/>
              <w:bottom w:val="single" w:sz="8" w:space="0" w:color="A49D73"/>
              <w:right w:val="single" w:sz="8" w:space="0" w:color="A49D73"/>
            </w:tcBorders>
            <w:vAlign w:val="center"/>
            <w:hideMark/>
          </w:tcPr>
          <w:p w:rsidR="00113568" w:rsidRPr="00113568" w:rsidRDefault="00113568" w:rsidP="00113568">
            <w:pPr>
              <w:spacing w:after="0" w:line="240" w:lineRule="auto"/>
              <w:rPr>
                <w:rFonts w:ascii="Calibri" w:eastAsia="Times New Roman" w:hAnsi="Calibri" w:cs="Calibri"/>
                <w:sz w:val="24"/>
                <w:szCs w:val="24"/>
                <w:lang w:eastAsia="ru-RU"/>
              </w:rPr>
            </w:pPr>
          </w:p>
        </w:tc>
        <w:tc>
          <w:tcPr>
            <w:tcW w:w="0" w:type="auto"/>
            <w:vMerge/>
            <w:tcBorders>
              <w:top w:val="nil"/>
              <w:left w:val="nil"/>
              <w:bottom w:val="single" w:sz="8" w:space="0" w:color="A49D73"/>
              <w:right w:val="single" w:sz="8" w:space="0" w:color="A49D73"/>
            </w:tcBorders>
            <w:vAlign w:val="center"/>
            <w:hideMark/>
          </w:tcPr>
          <w:p w:rsidR="00113568" w:rsidRPr="00113568" w:rsidRDefault="00113568" w:rsidP="00113568">
            <w:pPr>
              <w:spacing w:after="0" w:line="240" w:lineRule="auto"/>
              <w:rPr>
                <w:rFonts w:ascii="Calibri" w:eastAsia="Times New Roman" w:hAnsi="Calibri" w:cs="Calibri"/>
                <w:sz w:val="24"/>
                <w:szCs w:val="24"/>
                <w:lang w:eastAsia="ru-RU"/>
              </w:rPr>
            </w:pPr>
          </w:p>
        </w:tc>
      </w:tr>
      <w:tr w:rsidR="00113568" w:rsidRPr="00113568" w:rsidTr="00113568">
        <w:tc>
          <w:tcPr>
            <w:tcW w:w="375" w:type="dxa"/>
            <w:tcBorders>
              <w:top w:val="nil"/>
              <w:left w:val="single" w:sz="8" w:space="0" w:color="A49D73"/>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color w:val="000000"/>
                <w:lang w:eastAsia="ru-RU"/>
              </w:rPr>
              <w:t>1.2</w:t>
            </w:r>
          </w:p>
        </w:tc>
        <w:tc>
          <w:tcPr>
            <w:tcW w:w="348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lang w:eastAsia="ru-RU"/>
              </w:rPr>
              <w:t>Разработка отсутствующих сметных норм на передовые строительные технологии</w:t>
            </w:r>
          </w:p>
        </w:tc>
        <w:tc>
          <w:tcPr>
            <w:tcW w:w="0" w:type="auto"/>
            <w:vMerge/>
            <w:tcBorders>
              <w:top w:val="nil"/>
              <w:left w:val="nil"/>
              <w:bottom w:val="single" w:sz="8" w:space="0" w:color="A49D73"/>
              <w:right w:val="single" w:sz="8" w:space="0" w:color="A49D73"/>
            </w:tcBorders>
            <w:vAlign w:val="center"/>
            <w:hideMark/>
          </w:tcPr>
          <w:p w:rsidR="00113568" w:rsidRPr="00113568" w:rsidRDefault="00113568" w:rsidP="00113568">
            <w:pPr>
              <w:spacing w:after="0" w:line="240" w:lineRule="auto"/>
              <w:rPr>
                <w:rFonts w:ascii="Calibri" w:eastAsia="Times New Roman" w:hAnsi="Calibri" w:cs="Calibri"/>
                <w:sz w:val="24"/>
                <w:szCs w:val="24"/>
                <w:lang w:eastAsia="ru-RU"/>
              </w:rPr>
            </w:pPr>
          </w:p>
        </w:tc>
        <w:tc>
          <w:tcPr>
            <w:tcW w:w="0" w:type="auto"/>
            <w:vMerge/>
            <w:tcBorders>
              <w:top w:val="nil"/>
              <w:left w:val="nil"/>
              <w:bottom w:val="single" w:sz="8" w:space="0" w:color="A49D73"/>
              <w:right w:val="single" w:sz="8" w:space="0" w:color="A49D73"/>
            </w:tcBorders>
            <w:vAlign w:val="center"/>
            <w:hideMark/>
          </w:tcPr>
          <w:p w:rsidR="00113568" w:rsidRPr="00113568" w:rsidRDefault="00113568" w:rsidP="00113568">
            <w:pPr>
              <w:spacing w:after="0" w:line="240" w:lineRule="auto"/>
              <w:rPr>
                <w:rFonts w:ascii="Calibri" w:eastAsia="Times New Roman" w:hAnsi="Calibri" w:cs="Calibri"/>
                <w:sz w:val="24"/>
                <w:szCs w:val="24"/>
                <w:lang w:eastAsia="ru-RU"/>
              </w:rPr>
            </w:pPr>
          </w:p>
        </w:tc>
      </w:tr>
      <w:tr w:rsidR="00113568" w:rsidRPr="00113568" w:rsidTr="00113568">
        <w:tc>
          <w:tcPr>
            <w:tcW w:w="375" w:type="dxa"/>
            <w:tcBorders>
              <w:top w:val="nil"/>
              <w:left w:val="single" w:sz="8" w:space="0" w:color="A49D73"/>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color w:val="000000"/>
                <w:lang w:eastAsia="ru-RU"/>
              </w:rPr>
              <w:t>2</w:t>
            </w:r>
          </w:p>
        </w:tc>
        <w:tc>
          <w:tcPr>
            <w:tcW w:w="348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lang w:eastAsia="ru-RU"/>
              </w:rPr>
              <w:t>Организация и проведение на регулярной основе мониторинга цен основополагающих строительных материалов</w:t>
            </w:r>
          </w:p>
        </w:tc>
        <w:tc>
          <w:tcPr>
            <w:tcW w:w="276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ind w:firstLine="1320"/>
              <w:rPr>
                <w:rFonts w:ascii="Calibri" w:eastAsia="Times New Roman" w:hAnsi="Calibri" w:cs="Calibri"/>
                <w:sz w:val="24"/>
                <w:szCs w:val="24"/>
                <w:lang w:eastAsia="ru-RU"/>
              </w:rPr>
            </w:pPr>
            <w:r w:rsidRPr="00113568">
              <w:rPr>
                <w:rFonts w:ascii="Calibri" w:eastAsia="Times New Roman" w:hAnsi="Calibri" w:cs="Calibri"/>
                <w:sz w:val="24"/>
                <w:szCs w:val="24"/>
                <w:lang w:eastAsia="ru-RU"/>
              </w:rPr>
              <w:t> </w:t>
            </w:r>
          </w:p>
        </w:tc>
        <w:tc>
          <w:tcPr>
            <w:tcW w:w="258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color w:val="000000"/>
                <w:lang w:eastAsia="ru-RU"/>
              </w:rPr>
              <w:t>10 000 000,00</w:t>
            </w:r>
          </w:p>
        </w:tc>
      </w:tr>
      <w:tr w:rsidR="00113568" w:rsidRPr="00113568" w:rsidTr="00113568">
        <w:tc>
          <w:tcPr>
            <w:tcW w:w="375" w:type="dxa"/>
            <w:tcBorders>
              <w:top w:val="nil"/>
              <w:left w:val="single" w:sz="8" w:space="0" w:color="A49D73"/>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color w:val="000000"/>
                <w:lang w:eastAsia="ru-RU"/>
              </w:rPr>
              <w:t>3</w:t>
            </w:r>
          </w:p>
        </w:tc>
        <w:tc>
          <w:tcPr>
            <w:tcW w:w="348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lang w:eastAsia="ru-RU"/>
              </w:rPr>
              <w:t>Подготовка предложений по пересмотру методологии формирования оплаты труда при определении сметной стоимости строительства</w:t>
            </w:r>
          </w:p>
        </w:tc>
        <w:tc>
          <w:tcPr>
            <w:tcW w:w="276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ind w:firstLine="1320"/>
              <w:rPr>
                <w:rFonts w:ascii="Calibri" w:eastAsia="Times New Roman" w:hAnsi="Calibri" w:cs="Calibri"/>
                <w:sz w:val="24"/>
                <w:szCs w:val="24"/>
                <w:lang w:eastAsia="ru-RU"/>
              </w:rPr>
            </w:pPr>
            <w:r w:rsidRPr="00113568">
              <w:rPr>
                <w:rFonts w:ascii="Calibri" w:eastAsia="Times New Roman" w:hAnsi="Calibri" w:cs="Calibri"/>
                <w:sz w:val="24"/>
                <w:szCs w:val="24"/>
                <w:lang w:eastAsia="ru-RU"/>
              </w:rPr>
              <w:t> </w:t>
            </w:r>
          </w:p>
        </w:tc>
        <w:tc>
          <w:tcPr>
            <w:tcW w:w="258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Calibri" w:eastAsia="Times New Roman" w:hAnsi="Calibri" w:cs="Calibri"/>
                <w:sz w:val="24"/>
                <w:szCs w:val="24"/>
                <w:lang w:eastAsia="ru-RU"/>
              </w:rPr>
              <w:t> </w:t>
            </w:r>
          </w:p>
        </w:tc>
      </w:tr>
      <w:tr w:rsidR="00113568" w:rsidRPr="00113568" w:rsidTr="00113568">
        <w:tc>
          <w:tcPr>
            <w:tcW w:w="375" w:type="dxa"/>
            <w:tcBorders>
              <w:top w:val="nil"/>
              <w:left w:val="single" w:sz="8" w:space="0" w:color="A49D73"/>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color w:val="000000"/>
                <w:lang w:eastAsia="ru-RU"/>
              </w:rPr>
              <w:t>3.1</w:t>
            </w:r>
          </w:p>
        </w:tc>
        <w:tc>
          <w:tcPr>
            <w:tcW w:w="348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lang w:eastAsia="ru-RU"/>
              </w:rPr>
              <w:t>Организация и проведение мониторинга заработной платы на основании выборки по средним и крупным предприятиям</w:t>
            </w:r>
          </w:p>
        </w:tc>
        <w:tc>
          <w:tcPr>
            <w:tcW w:w="276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lang w:eastAsia="ru-RU"/>
              </w:rPr>
              <w:t>Целесообразно данную работу предложить выполнить СРО в каждом субъекте</w:t>
            </w:r>
          </w:p>
        </w:tc>
        <w:tc>
          <w:tcPr>
            <w:tcW w:w="258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color w:val="000000"/>
                <w:lang w:eastAsia="ru-RU"/>
              </w:rPr>
              <w:t>0,00</w:t>
            </w:r>
          </w:p>
        </w:tc>
      </w:tr>
      <w:tr w:rsidR="00113568" w:rsidRPr="00113568" w:rsidTr="00113568">
        <w:tc>
          <w:tcPr>
            <w:tcW w:w="375" w:type="dxa"/>
            <w:tcBorders>
              <w:top w:val="nil"/>
              <w:left w:val="single" w:sz="8" w:space="0" w:color="A49D73"/>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color w:val="000000"/>
                <w:lang w:eastAsia="ru-RU"/>
              </w:rPr>
              <w:t>3.2</w:t>
            </w:r>
          </w:p>
        </w:tc>
        <w:tc>
          <w:tcPr>
            <w:tcW w:w="348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lang w:eastAsia="ru-RU"/>
              </w:rPr>
              <w:t>Анализ собранных данных по мониторингу и подготовка изменений в Методику определения сметных цен на затраты труда в строительстве</w:t>
            </w:r>
          </w:p>
        </w:tc>
        <w:tc>
          <w:tcPr>
            <w:tcW w:w="276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ind w:firstLine="1320"/>
              <w:rPr>
                <w:rFonts w:ascii="Calibri" w:eastAsia="Times New Roman" w:hAnsi="Calibri" w:cs="Calibri"/>
                <w:sz w:val="24"/>
                <w:szCs w:val="24"/>
                <w:lang w:eastAsia="ru-RU"/>
              </w:rPr>
            </w:pPr>
            <w:r w:rsidRPr="00113568">
              <w:rPr>
                <w:rFonts w:ascii="Calibri" w:eastAsia="Times New Roman" w:hAnsi="Calibri" w:cs="Calibri"/>
                <w:sz w:val="24"/>
                <w:szCs w:val="24"/>
                <w:lang w:eastAsia="ru-RU"/>
              </w:rPr>
              <w:t> </w:t>
            </w:r>
          </w:p>
        </w:tc>
        <w:tc>
          <w:tcPr>
            <w:tcW w:w="258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color w:val="000000"/>
                <w:lang w:eastAsia="ru-RU"/>
              </w:rPr>
              <w:t>2 000 000,00</w:t>
            </w:r>
          </w:p>
        </w:tc>
      </w:tr>
      <w:tr w:rsidR="00113568" w:rsidRPr="00113568" w:rsidTr="00113568">
        <w:tc>
          <w:tcPr>
            <w:tcW w:w="375" w:type="dxa"/>
            <w:tcBorders>
              <w:top w:val="nil"/>
              <w:left w:val="single" w:sz="8" w:space="0" w:color="A49D73"/>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color w:val="000000"/>
                <w:lang w:eastAsia="ru-RU"/>
              </w:rPr>
              <w:t>4</w:t>
            </w:r>
          </w:p>
        </w:tc>
        <w:tc>
          <w:tcPr>
            <w:tcW w:w="348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lang w:eastAsia="ru-RU"/>
              </w:rPr>
              <w:t>Разработка проекта Методики расчета предельной стоимости строительства, в том числе по объектам-аналогам</w:t>
            </w:r>
          </w:p>
        </w:tc>
        <w:tc>
          <w:tcPr>
            <w:tcW w:w="276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ind w:firstLine="1320"/>
              <w:rPr>
                <w:rFonts w:ascii="Calibri" w:eastAsia="Times New Roman" w:hAnsi="Calibri" w:cs="Calibri"/>
                <w:sz w:val="24"/>
                <w:szCs w:val="24"/>
                <w:lang w:eastAsia="ru-RU"/>
              </w:rPr>
            </w:pPr>
            <w:r w:rsidRPr="00113568">
              <w:rPr>
                <w:rFonts w:ascii="Calibri" w:eastAsia="Times New Roman" w:hAnsi="Calibri" w:cs="Calibri"/>
                <w:sz w:val="24"/>
                <w:szCs w:val="24"/>
                <w:lang w:eastAsia="ru-RU"/>
              </w:rPr>
              <w:t> </w:t>
            </w:r>
          </w:p>
        </w:tc>
        <w:tc>
          <w:tcPr>
            <w:tcW w:w="258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color w:val="000000"/>
                <w:lang w:eastAsia="ru-RU"/>
              </w:rPr>
              <w:t>1 500 000,00</w:t>
            </w:r>
          </w:p>
        </w:tc>
      </w:tr>
      <w:tr w:rsidR="00113568" w:rsidRPr="00113568" w:rsidTr="00113568">
        <w:tc>
          <w:tcPr>
            <w:tcW w:w="375" w:type="dxa"/>
            <w:tcBorders>
              <w:top w:val="nil"/>
              <w:left w:val="single" w:sz="8" w:space="0" w:color="A49D73"/>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color w:val="000000"/>
                <w:lang w:eastAsia="ru-RU"/>
              </w:rPr>
              <w:t>5</w:t>
            </w:r>
          </w:p>
        </w:tc>
        <w:tc>
          <w:tcPr>
            <w:tcW w:w="348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lang w:eastAsia="ru-RU"/>
              </w:rPr>
              <w:t>Разработка проекта Методических рекомендаций по определению сметной стоимости работ по капитальному ремонту объектов капитального строительства</w:t>
            </w:r>
          </w:p>
        </w:tc>
        <w:tc>
          <w:tcPr>
            <w:tcW w:w="276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ind w:firstLine="1320"/>
              <w:rPr>
                <w:rFonts w:ascii="Calibri" w:eastAsia="Times New Roman" w:hAnsi="Calibri" w:cs="Calibri"/>
                <w:sz w:val="24"/>
                <w:szCs w:val="24"/>
                <w:lang w:eastAsia="ru-RU"/>
              </w:rPr>
            </w:pPr>
            <w:r w:rsidRPr="00113568">
              <w:rPr>
                <w:rFonts w:ascii="Calibri" w:eastAsia="Times New Roman" w:hAnsi="Calibri" w:cs="Calibri"/>
                <w:sz w:val="24"/>
                <w:szCs w:val="24"/>
                <w:lang w:eastAsia="ru-RU"/>
              </w:rPr>
              <w:t> </w:t>
            </w:r>
          </w:p>
        </w:tc>
        <w:tc>
          <w:tcPr>
            <w:tcW w:w="258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color w:val="000000"/>
                <w:lang w:eastAsia="ru-RU"/>
              </w:rPr>
              <w:t>1 200 000,00</w:t>
            </w:r>
          </w:p>
        </w:tc>
      </w:tr>
      <w:tr w:rsidR="00113568" w:rsidRPr="00113568" w:rsidTr="00113568">
        <w:tc>
          <w:tcPr>
            <w:tcW w:w="375" w:type="dxa"/>
            <w:tcBorders>
              <w:top w:val="nil"/>
              <w:left w:val="single" w:sz="8" w:space="0" w:color="A49D73"/>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color w:val="000000"/>
                <w:lang w:eastAsia="ru-RU"/>
              </w:rPr>
              <w:t>6</w:t>
            </w:r>
          </w:p>
        </w:tc>
        <w:tc>
          <w:tcPr>
            <w:tcW w:w="348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lang w:eastAsia="ru-RU"/>
              </w:rPr>
              <w:t>Организация и проведение Всероссийского конкурса "Лучший специалист по ценообразованию в строительстве"</w:t>
            </w:r>
          </w:p>
        </w:tc>
        <w:tc>
          <w:tcPr>
            <w:tcW w:w="276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ind w:firstLine="1320"/>
              <w:rPr>
                <w:rFonts w:ascii="Calibri" w:eastAsia="Times New Roman" w:hAnsi="Calibri" w:cs="Calibri"/>
                <w:sz w:val="24"/>
                <w:szCs w:val="24"/>
                <w:lang w:eastAsia="ru-RU"/>
              </w:rPr>
            </w:pPr>
            <w:r w:rsidRPr="00113568">
              <w:rPr>
                <w:rFonts w:ascii="Calibri" w:eastAsia="Times New Roman" w:hAnsi="Calibri" w:cs="Calibri"/>
                <w:sz w:val="24"/>
                <w:szCs w:val="24"/>
                <w:lang w:eastAsia="ru-RU"/>
              </w:rPr>
              <w:t> </w:t>
            </w:r>
          </w:p>
        </w:tc>
        <w:tc>
          <w:tcPr>
            <w:tcW w:w="258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color w:val="000000"/>
                <w:lang w:eastAsia="ru-RU"/>
              </w:rPr>
              <w:t>2 000 000,00</w:t>
            </w:r>
          </w:p>
        </w:tc>
      </w:tr>
      <w:tr w:rsidR="00113568" w:rsidRPr="00113568" w:rsidTr="00113568">
        <w:tc>
          <w:tcPr>
            <w:tcW w:w="375" w:type="dxa"/>
            <w:tcBorders>
              <w:top w:val="nil"/>
              <w:left w:val="single" w:sz="8" w:space="0" w:color="A49D73"/>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color w:val="000000"/>
                <w:lang w:eastAsia="ru-RU"/>
              </w:rPr>
              <w:t>7</w:t>
            </w:r>
          </w:p>
        </w:tc>
        <w:tc>
          <w:tcPr>
            <w:tcW w:w="348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lang w:eastAsia="ru-RU"/>
              </w:rPr>
              <w:t>Создание Департамента по ценообразованию в строительстве в структуре НОСТРОЙ</w:t>
            </w:r>
          </w:p>
        </w:tc>
        <w:tc>
          <w:tcPr>
            <w:tcW w:w="276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lang w:eastAsia="ru-RU"/>
              </w:rPr>
              <w:t xml:space="preserve">ФОТ 5 </w:t>
            </w:r>
            <w:proofErr w:type="gramStart"/>
            <w:r w:rsidRPr="00113568">
              <w:rPr>
                <w:rFonts w:ascii="Arial" w:eastAsia="Times New Roman" w:hAnsi="Arial" w:cs="Arial"/>
                <w:color w:val="000000"/>
                <w:lang w:eastAsia="ru-RU"/>
              </w:rPr>
              <w:t>чел</w:t>
            </w:r>
            <w:proofErr w:type="gramEnd"/>
            <w:r w:rsidRPr="00113568">
              <w:rPr>
                <w:rFonts w:ascii="Arial" w:eastAsia="Times New Roman" w:hAnsi="Arial" w:cs="Arial"/>
                <w:color w:val="000000"/>
                <w:lang w:eastAsia="ru-RU"/>
              </w:rPr>
              <w:t xml:space="preserve"> 700 000*12=8 400 000 + 30,2% отчисления с ФОТ 2 5370800 </w:t>
            </w:r>
          </w:p>
        </w:tc>
        <w:tc>
          <w:tcPr>
            <w:tcW w:w="2580" w:type="dxa"/>
            <w:tcBorders>
              <w:top w:val="nil"/>
              <w:left w:val="nil"/>
              <w:bottom w:val="single" w:sz="8" w:space="0" w:color="A49D73"/>
              <w:right w:val="single" w:sz="8" w:space="0" w:color="A49D73"/>
            </w:tcBorders>
            <w:tcMar>
              <w:top w:w="0" w:type="dxa"/>
              <w:left w:w="108" w:type="dxa"/>
              <w:bottom w:w="0" w:type="dxa"/>
              <w:right w:w="108" w:type="dxa"/>
            </w:tcMa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color w:val="000000"/>
                <w:lang w:eastAsia="ru-RU"/>
              </w:rPr>
              <w:t>10 937 000,00</w:t>
            </w:r>
          </w:p>
        </w:tc>
      </w:tr>
      <w:tr w:rsidR="00113568" w:rsidRPr="00113568" w:rsidTr="00113568">
        <w:tc>
          <w:tcPr>
            <w:tcW w:w="375" w:type="dxa"/>
            <w:tcBorders>
              <w:top w:val="nil"/>
              <w:left w:val="single" w:sz="8" w:space="0" w:color="A49D73"/>
              <w:bottom w:val="single" w:sz="8" w:space="0" w:color="A49D73"/>
              <w:right w:val="single" w:sz="8" w:space="0" w:color="A49D73"/>
            </w:tcBorders>
            <w:shd w:val="clear" w:color="auto" w:fill="CDE0C0"/>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Calibri" w:eastAsia="Times New Roman" w:hAnsi="Calibri" w:cs="Calibri"/>
                <w:sz w:val="24"/>
                <w:szCs w:val="24"/>
                <w:lang w:eastAsia="ru-RU"/>
              </w:rPr>
              <w:t> </w:t>
            </w:r>
          </w:p>
        </w:tc>
        <w:tc>
          <w:tcPr>
            <w:tcW w:w="3480" w:type="dxa"/>
            <w:tcBorders>
              <w:top w:val="nil"/>
              <w:left w:val="nil"/>
              <w:bottom w:val="single" w:sz="8" w:space="0" w:color="A49D73"/>
              <w:right w:val="single" w:sz="8" w:space="0" w:color="A49D73"/>
            </w:tcBorders>
            <w:shd w:val="clear" w:color="auto" w:fill="CDE0C0"/>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b/>
                <w:bCs/>
                <w:color w:val="053123"/>
                <w:lang w:eastAsia="ru-RU"/>
              </w:rPr>
              <w:t>Итого</w:t>
            </w:r>
          </w:p>
        </w:tc>
        <w:tc>
          <w:tcPr>
            <w:tcW w:w="2760" w:type="dxa"/>
            <w:tcBorders>
              <w:top w:val="nil"/>
              <w:left w:val="nil"/>
              <w:bottom w:val="single" w:sz="8" w:space="0" w:color="A49D73"/>
              <w:right w:val="single" w:sz="8" w:space="0" w:color="A49D73"/>
            </w:tcBorders>
            <w:shd w:val="clear" w:color="auto" w:fill="CDE0C0"/>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Calibri" w:eastAsia="Times New Roman" w:hAnsi="Calibri" w:cs="Calibri"/>
                <w:sz w:val="24"/>
                <w:szCs w:val="24"/>
                <w:lang w:eastAsia="ru-RU"/>
              </w:rPr>
              <w:t> </w:t>
            </w:r>
          </w:p>
        </w:tc>
        <w:tc>
          <w:tcPr>
            <w:tcW w:w="2580" w:type="dxa"/>
            <w:tcBorders>
              <w:top w:val="nil"/>
              <w:left w:val="nil"/>
              <w:bottom w:val="single" w:sz="8" w:space="0" w:color="A49D73"/>
              <w:right w:val="single" w:sz="8" w:space="0" w:color="A49D73"/>
            </w:tcBorders>
            <w:shd w:val="clear" w:color="auto" w:fill="CDE0C0"/>
            <w:tcMar>
              <w:top w:w="0" w:type="dxa"/>
              <w:left w:w="108" w:type="dxa"/>
              <w:bottom w:w="0" w:type="dxa"/>
              <w:right w:w="108" w:type="dxa"/>
            </w:tcMar>
            <w:vAlign w:val="cente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b/>
                <w:bCs/>
                <w:color w:val="053123"/>
                <w:lang w:eastAsia="ru-RU"/>
              </w:rPr>
              <w:t>37 637 000,00</w:t>
            </w:r>
          </w:p>
        </w:tc>
      </w:tr>
    </w:tbl>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Calibri" w:eastAsia="Times New Roman" w:hAnsi="Calibri" w:cs="Calibri"/>
          <w:color w:val="000000"/>
          <w:sz w:val="24"/>
          <w:szCs w:val="24"/>
          <w:lang w:eastAsia="ru-RU"/>
        </w:rPr>
        <w:t> </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В области внедрения независимой оценки квалификаций:</w:t>
      </w:r>
    </w:p>
    <w:p w:rsidR="00113568" w:rsidRPr="00113568" w:rsidRDefault="00113568" w:rsidP="00113568">
      <w:pPr>
        <w:shd w:val="clear" w:color="auto" w:fill="FFFFFF"/>
        <w:spacing w:after="0" w:line="360" w:lineRule="atLeast"/>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i/>
          <w:iCs/>
          <w:color w:val="000000"/>
          <w:sz w:val="28"/>
          <w:szCs w:val="28"/>
          <w:lang w:eastAsia="ru-RU"/>
        </w:rPr>
        <w:t xml:space="preserve">- Развитие национальной системы квалификаций в области строительства – 39 161 528 рублей с учетом запуска системы НОК, поддержке ПАК, </w:t>
      </w:r>
      <w:r w:rsidRPr="00113568">
        <w:rPr>
          <w:rFonts w:ascii="Times New Roman" w:eastAsia="Times New Roman" w:hAnsi="Times New Roman" w:cs="Times New Roman"/>
          <w:i/>
          <w:iCs/>
          <w:color w:val="000000"/>
          <w:sz w:val="28"/>
          <w:szCs w:val="28"/>
          <w:lang w:eastAsia="ru-RU"/>
        </w:rPr>
        <w:lastRenderedPageBreak/>
        <w:t>обновлению КОС, проверке заявительных документов ЦОК, проверке результатов экзаменов и другие функции по НОК.</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Calibri" w:eastAsia="Times New Roman" w:hAnsi="Calibri" w:cs="Calibri"/>
          <w:color w:val="000000"/>
          <w:sz w:val="24"/>
          <w:szCs w:val="24"/>
          <w:lang w:eastAsia="ru-RU"/>
        </w:rPr>
        <w:t> </w:t>
      </w:r>
    </w:p>
    <w:tbl>
      <w:tblPr>
        <w:tblW w:w="0" w:type="auto"/>
        <w:tblInd w:w="-118" w:type="dxa"/>
        <w:tblCellMar>
          <w:left w:w="0" w:type="dxa"/>
          <w:right w:w="0" w:type="dxa"/>
        </w:tblCellMar>
        <w:tblLook w:val="04A0" w:firstRow="1" w:lastRow="0" w:firstColumn="1" w:lastColumn="0" w:noHBand="0" w:noVBand="1"/>
      </w:tblPr>
      <w:tblGrid>
        <w:gridCol w:w="4500"/>
        <w:gridCol w:w="1560"/>
        <w:gridCol w:w="3315"/>
      </w:tblGrid>
      <w:tr w:rsidR="00113568" w:rsidRPr="00113568" w:rsidTr="00113568">
        <w:tc>
          <w:tcPr>
            <w:tcW w:w="4500" w:type="dxa"/>
            <w:tcBorders>
              <w:top w:val="single" w:sz="8" w:space="0" w:color="000000"/>
              <w:left w:val="single" w:sz="8" w:space="0" w:color="000000"/>
              <w:bottom w:val="single" w:sz="8" w:space="0" w:color="7C97D2"/>
              <w:right w:val="single" w:sz="8" w:space="0" w:color="000000"/>
            </w:tcBorders>
            <w:shd w:val="clear" w:color="auto" w:fill="7C97D2"/>
            <w:tcMar>
              <w:top w:w="0" w:type="dxa"/>
              <w:left w:w="108" w:type="dxa"/>
              <w:bottom w:w="0" w:type="dxa"/>
              <w:right w:w="108" w:type="dxa"/>
            </w:tcMar>
            <w:vAlign w:val="center"/>
            <w:hideMark/>
          </w:tcPr>
          <w:p w:rsidR="00113568" w:rsidRPr="00113568" w:rsidRDefault="00113568" w:rsidP="00113568">
            <w:pPr>
              <w:spacing w:after="0" w:line="240" w:lineRule="auto"/>
              <w:divId w:val="2105148685"/>
              <w:rPr>
                <w:rFonts w:ascii="Calibri" w:eastAsia="Times New Roman" w:hAnsi="Calibri" w:cs="Calibri"/>
                <w:sz w:val="24"/>
                <w:szCs w:val="24"/>
                <w:lang w:eastAsia="ru-RU"/>
              </w:rPr>
            </w:pPr>
            <w:r w:rsidRPr="00113568">
              <w:rPr>
                <w:rFonts w:ascii="Arial" w:eastAsia="Times New Roman" w:hAnsi="Arial" w:cs="Arial"/>
                <w:color w:val="000000"/>
                <w:sz w:val="28"/>
                <w:szCs w:val="28"/>
                <w:lang w:eastAsia="ru-RU"/>
              </w:rPr>
              <w:t>Расходная часть</w:t>
            </w:r>
          </w:p>
        </w:tc>
        <w:tc>
          <w:tcPr>
            <w:tcW w:w="1560" w:type="dxa"/>
            <w:tcBorders>
              <w:top w:val="single" w:sz="8" w:space="0" w:color="000000"/>
              <w:left w:val="nil"/>
              <w:bottom w:val="single" w:sz="8" w:space="0" w:color="7C97D2"/>
              <w:right w:val="single" w:sz="8" w:space="0" w:color="000000"/>
            </w:tcBorders>
            <w:shd w:val="clear" w:color="auto" w:fill="7C97D2"/>
            <w:tcMar>
              <w:top w:w="0" w:type="dxa"/>
              <w:left w:w="108" w:type="dxa"/>
              <w:bottom w:w="0" w:type="dxa"/>
              <w:right w:w="108" w:type="dxa"/>
            </w:tcMar>
            <w:vAlign w:val="center"/>
            <w:hideMark/>
          </w:tcPr>
          <w:p w:rsidR="00113568" w:rsidRPr="00113568" w:rsidRDefault="00113568" w:rsidP="00113568">
            <w:pPr>
              <w:spacing w:after="0" w:line="240" w:lineRule="auto"/>
              <w:jc w:val="center"/>
              <w:rPr>
                <w:rFonts w:ascii="Calibri" w:eastAsia="Times New Roman" w:hAnsi="Calibri" w:cs="Calibri"/>
                <w:sz w:val="24"/>
                <w:szCs w:val="24"/>
                <w:lang w:eastAsia="ru-RU"/>
              </w:rPr>
            </w:pPr>
            <w:r w:rsidRPr="00113568">
              <w:rPr>
                <w:rFonts w:ascii="Arial" w:eastAsia="Times New Roman" w:hAnsi="Arial" w:cs="Arial"/>
                <w:color w:val="000000"/>
                <w:sz w:val="28"/>
                <w:szCs w:val="28"/>
                <w:lang w:eastAsia="ru-RU"/>
              </w:rPr>
              <w:t>Суммы</w:t>
            </w:r>
          </w:p>
        </w:tc>
        <w:tc>
          <w:tcPr>
            <w:tcW w:w="3315" w:type="dxa"/>
            <w:tcBorders>
              <w:top w:val="single" w:sz="8" w:space="0" w:color="000000"/>
              <w:left w:val="nil"/>
              <w:bottom w:val="single" w:sz="8" w:space="0" w:color="000000"/>
              <w:right w:val="single" w:sz="8" w:space="0" w:color="000000"/>
            </w:tcBorders>
            <w:shd w:val="clear" w:color="auto" w:fill="7C97D2"/>
            <w:tcMar>
              <w:top w:w="0" w:type="dxa"/>
              <w:left w:w="108" w:type="dxa"/>
              <w:bottom w:w="0" w:type="dxa"/>
              <w:right w:w="108" w:type="dxa"/>
            </w:tcMar>
            <w:vAlign w:val="cente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sz w:val="28"/>
                <w:szCs w:val="28"/>
                <w:lang w:eastAsia="ru-RU"/>
              </w:rPr>
              <w:t>Комментарии</w:t>
            </w:r>
          </w:p>
        </w:tc>
      </w:tr>
      <w:tr w:rsidR="00113568" w:rsidRPr="00113568" w:rsidTr="00113568">
        <w:tc>
          <w:tcPr>
            <w:tcW w:w="4500" w:type="dxa"/>
            <w:tcBorders>
              <w:top w:val="nil"/>
              <w:left w:val="single" w:sz="8" w:space="0" w:color="000000"/>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Материально-техническое обеспечение</w:t>
            </w:r>
          </w:p>
        </w:tc>
        <w:tc>
          <w:tcPr>
            <w:tcW w:w="1560" w:type="dxa"/>
            <w:tcBorders>
              <w:top w:val="nil"/>
              <w:left w:val="nil"/>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jc w:val="right"/>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230 000</w:t>
            </w:r>
          </w:p>
        </w:tc>
        <w:tc>
          <w:tcPr>
            <w:tcW w:w="3315" w:type="dxa"/>
            <w:tcBorders>
              <w:top w:val="nil"/>
              <w:left w:val="nil"/>
              <w:bottom w:val="single" w:sz="8" w:space="0" w:color="7C97D2"/>
              <w:right w:val="single" w:sz="8" w:space="0" w:color="000000"/>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Calibri" w:eastAsia="Times New Roman" w:hAnsi="Calibri" w:cs="Calibri"/>
                <w:sz w:val="24"/>
                <w:szCs w:val="24"/>
                <w:lang w:eastAsia="ru-RU"/>
              </w:rPr>
              <w:t> </w:t>
            </w:r>
          </w:p>
        </w:tc>
      </w:tr>
      <w:tr w:rsidR="00113568" w:rsidRPr="00113568" w:rsidTr="00113568">
        <w:tc>
          <w:tcPr>
            <w:tcW w:w="4500" w:type="dxa"/>
            <w:tcBorders>
              <w:top w:val="nil"/>
              <w:left w:val="single" w:sz="8" w:space="0" w:color="000000"/>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Разработка оценочных средств</w:t>
            </w:r>
          </w:p>
        </w:tc>
        <w:tc>
          <w:tcPr>
            <w:tcW w:w="1560" w:type="dxa"/>
            <w:tcBorders>
              <w:top w:val="nil"/>
              <w:left w:val="nil"/>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jc w:val="right"/>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11 500 000</w:t>
            </w:r>
          </w:p>
        </w:tc>
        <w:tc>
          <w:tcPr>
            <w:tcW w:w="3315" w:type="dxa"/>
            <w:tcBorders>
              <w:top w:val="nil"/>
              <w:left w:val="nil"/>
              <w:bottom w:val="single" w:sz="8" w:space="0" w:color="7C97D2"/>
              <w:right w:val="single" w:sz="8" w:space="0" w:color="000000"/>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 xml:space="preserve">6 300 </w:t>
            </w:r>
            <w:proofErr w:type="spellStart"/>
            <w:r w:rsidRPr="00113568">
              <w:rPr>
                <w:rFonts w:ascii="Arial" w:eastAsia="Times New Roman" w:hAnsi="Arial" w:cs="Arial"/>
                <w:color w:val="000000"/>
                <w:sz w:val="24"/>
                <w:szCs w:val="24"/>
                <w:lang w:eastAsia="ru-RU"/>
              </w:rPr>
              <w:t>тыс</w:t>
            </w:r>
            <w:proofErr w:type="spellEnd"/>
            <w:r w:rsidRPr="00113568">
              <w:rPr>
                <w:rFonts w:ascii="Arial" w:eastAsia="Times New Roman" w:hAnsi="Arial" w:cs="Arial"/>
                <w:color w:val="000000"/>
                <w:sz w:val="24"/>
                <w:szCs w:val="24"/>
                <w:lang w:eastAsia="ru-RU"/>
              </w:rPr>
              <w:t xml:space="preserve"> разработка оценочных средств для 6 и 5го уровня квалификации организатора строительного производства с учетом специализации,4 250 </w:t>
            </w:r>
            <w:proofErr w:type="spellStart"/>
            <w:r w:rsidRPr="00113568">
              <w:rPr>
                <w:rFonts w:ascii="Arial" w:eastAsia="Times New Roman" w:hAnsi="Arial" w:cs="Arial"/>
                <w:color w:val="000000"/>
                <w:sz w:val="24"/>
                <w:szCs w:val="24"/>
                <w:lang w:eastAsia="ru-RU"/>
              </w:rPr>
              <w:t>тыс</w:t>
            </w:r>
            <w:proofErr w:type="spellEnd"/>
            <w:r w:rsidRPr="00113568">
              <w:rPr>
                <w:rFonts w:ascii="Arial" w:eastAsia="Times New Roman" w:hAnsi="Arial" w:cs="Arial"/>
                <w:color w:val="000000"/>
                <w:sz w:val="24"/>
                <w:szCs w:val="24"/>
                <w:lang w:eastAsia="ru-RU"/>
              </w:rPr>
              <w:t xml:space="preserve"> актуализация оценочных средств 7го уровня квалификации и 25 востребованных квалификаций, 950 </w:t>
            </w:r>
            <w:proofErr w:type="spellStart"/>
            <w:r w:rsidRPr="00113568">
              <w:rPr>
                <w:rFonts w:ascii="Arial" w:eastAsia="Times New Roman" w:hAnsi="Arial" w:cs="Arial"/>
                <w:color w:val="000000"/>
                <w:sz w:val="24"/>
                <w:szCs w:val="24"/>
                <w:lang w:eastAsia="ru-RU"/>
              </w:rPr>
              <w:t>тыс</w:t>
            </w:r>
            <w:proofErr w:type="spellEnd"/>
            <w:r w:rsidRPr="00113568">
              <w:rPr>
                <w:rFonts w:ascii="Arial" w:eastAsia="Times New Roman" w:hAnsi="Arial" w:cs="Arial"/>
                <w:color w:val="000000"/>
                <w:sz w:val="24"/>
                <w:szCs w:val="24"/>
                <w:lang w:eastAsia="ru-RU"/>
              </w:rPr>
              <w:t xml:space="preserve"> разработка и актуализация профстандартов и </w:t>
            </w:r>
            <w:proofErr w:type="spellStart"/>
            <w:r w:rsidRPr="00113568">
              <w:rPr>
                <w:rFonts w:ascii="Arial" w:eastAsia="Times New Roman" w:hAnsi="Arial" w:cs="Arial"/>
                <w:color w:val="000000"/>
                <w:sz w:val="24"/>
                <w:szCs w:val="24"/>
                <w:lang w:eastAsia="ru-RU"/>
              </w:rPr>
              <w:t>профквалификаций</w:t>
            </w:r>
            <w:proofErr w:type="spellEnd"/>
          </w:p>
        </w:tc>
      </w:tr>
      <w:tr w:rsidR="00113568" w:rsidRPr="00113568" w:rsidTr="00113568">
        <w:tc>
          <w:tcPr>
            <w:tcW w:w="4500" w:type="dxa"/>
            <w:tcBorders>
              <w:top w:val="nil"/>
              <w:left w:val="single" w:sz="8" w:space="0" w:color="000000"/>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ФОТ сотрудников, занимающихся проектом</w:t>
            </w:r>
          </w:p>
        </w:tc>
        <w:tc>
          <w:tcPr>
            <w:tcW w:w="1560" w:type="dxa"/>
            <w:tcBorders>
              <w:top w:val="nil"/>
              <w:left w:val="nil"/>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jc w:val="right"/>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7 920 000</w:t>
            </w:r>
          </w:p>
        </w:tc>
        <w:tc>
          <w:tcPr>
            <w:tcW w:w="3315" w:type="dxa"/>
            <w:tcBorders>
              <w:top w:val="nil"/>
              <w:left w:val="nil"/>
              <w:bottom w:val="single" w:sz="8" w:space="0" w:color="7C97D2"/>
              <w:right w:val="single" w:sz="8" w:space="0" w:color="000000"/>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8 человек</w:t>
            </w:r>
          </w:p>
        </w:tc>
      </w:tr>
      <w:tr w:rsidR="00113568" w:rsidRPr="00113568" w:rsidTr="00113568">
        <w:tc>
          <w:tcPr>
            <w:tcW w:w="4500" w:type="dxa"/>
            <w:tcBorders>
              <w:top w:val="nil"/>
              <w:left w:val="single" w:sz="8" w:space="0" w:color="000000"/>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Премиальный фонд</w:t>
            </w:r>
          </w:p>
        </w:tc>
        <w:tc>
          <w:tcPr>
            <w:tcW w:w="1560" w:type="dxa"/>
            <w:tcBorders>
              <w:top w:val="nil"/>
              <w:left w:val="nil"/>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jc w:val="right"/>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2 244 000</w:t>
            </w:r>
          </w:p>
        </w:tc>
        <w:tc>
          <w:tcPr>
            <w:tcW w:w="3315" w:type="dxa"/>
            <w:tcBorders>
              <w:top w:val="nil"/>
              <w:left w:val="nil"/>
              <w:bottom w:val="single" w:sz="8" w:space="0" w:color="7C97D2"/>
              <w:right w:val="single" w:sz="8" w:space="0" w:color="000000"/>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Calibri" w:eastAsia="Times New Roman" w:hAnsi="Calibri" w:cs="Calibri"/>
                <w:sz w:val="24"/>
                <w:szCs w:val="24"/>
                <w:lang w:eastAsia="ru-RU"/>
              </w:rPr>
              <w:t> </w:t>
            </w:r>
          </w:p>
        </w:tc>
      </w:tr>
      <w:tr w:rsidR="00113568" w:rsidRPr="00113568" w:rsidTr="00113568">
        <w:tc>
          <w:tcPr>
            <w:tcW w:w="4500" w:type="dxa"/>
            <w:tcBorders>
              <w:top w:val="nil"/>
              <w:left w:val="single" w:sz="8" w:space="0" w:color="000000"/>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Отчисления с ФОТ</w:t>
            </w:r>
          </w:p>
        </w:tc>
        <w:tc>
          <w:tcPr>
            <w:tcW w:w="1560" w:type="dxa"/>
            <w:tcBorders>
              <w:top w:val="nil"/>
              <w:left w:val="nil"/>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jc w:val="right"/>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3 069 528</w:t>
            </w:r>
          </w:p>
        </w:tc>
        <w:tc>
          <w:tcPr>
            <w:tcW w:w="3315" w:type="dxa"/>
            <w:tcBorders>
              <w:top w:val="nil"/>
              <w:left w:val="nil"/>
              <w:bottom w:val="single" w:sz="8" w:space="0" w:color="7C97D2"/>
              <w:right w:val="single" w:sz="8" w:space="0" w:color="000000"/>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Calibri" w:eastAsia="Times New Roman" w:hAnsi="Calibri" w:cs="Calibri"/>
                <w:sz w:val="24"/>
                <w:szCs w:val="24"/>
                <w:lang w:eastAsia="ru-RU"/>
              </w:rPr>
              <w:t> </w:t>
            </w:r>
          </w:p>
        </w:tc>
      </w:tr>
      <w:tr w:rsidR="00113568" w:rsidRPr="00113568" w:rsidTr="00113568">
        <w:tc>
          <w:tcPr>
            <w:tcW w:w="4500" w:type="dxa"/>
            <w:tcBorders>
              <w:top w:val="nil"/>
              <w:left w:val="single" w:sz="8" w:space="0" w:color="000000"/>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Командировочные расходы</w:t>
            </w:r>
          </w:p>
        </w:tc>
        <w:tc>
          <w:tcPr>
            <w:tcW w:w="1560" w:type="dxa"/>
            <w:tcBorders>
              <w:top w:val="nil"/>
              <w:left w:val="nil"/>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jc w:val="right"/>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3 000 000</w:t>
            </w:r>
          </w:p>
        </w:tc>
        <w:tc>
          <w:tcPr>
            <w:tcW w:w="3315" w:type="dxa"/>
            <w:tcBorders>
              <w:top w:val="nil"/>
              <w:left w:val="nil"/>
              <w:bottom w:val="single" w:sz="8" w:space="0" w:color="7C97D2"/>
              <w:right w:val="single" w:sz="8" w:space="0" w:color="000000"/>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Calibri" w:eastAsia="Times New Roman" w:hAnsi="Calibri" w:cs="Calibri"/>
                <w:sz w:val="24"/>
                <w:szCs w:val="24"/>
                <w:lang w:eastAsia="ru-RU"/>
              </w:rPr>
              <w:t> </w:t>
            </w:r>
          </w:p>
        </w:tc>
      </w:tr>
      <w:tr w:rsidR="00113568" w:rsidRPr="00113568" w:rsidTr="00113568">
        <w:tc>
          <w:tcPr>
            <w:tcW w:w="4500" w:type="dxa"/>
            <w:tcBorders>
              <w:top w:val="nil"/>
              <w:left w:val="single" w:sz="8" w:space="0" w:color="000000"/>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Материальная помощь и ДМС</w:t>
            </w:r>
          </w:p>
        </w:tc>
        <w:tc>
          <w:tcPr>
            <w:tcW w:w="1560" w:type="dxa"/>
            <w:tcBorders>
              <w:top w:val="nil"/>
              <w:left w:val="nil"/>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jc w:val="right"/>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443 000</w:t>
            </w:r>
          </w:p>
        </w:tc>
        <w:tc>
          <w:tcPr>
            <w:tcW w:w="3315" w:type="dxa"/>
            <w:tcBorders>
              <w:top w:val="nil"/>
              <w:left w:val="nil"/>
              <w:bottom w:val="single" w:sz="8" w:space="0" w:color="7C97D2"/>
              <w:right w:val="single" w:sz="8" w:space="0" w:color="000000"/>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5,59% от ФОТ</w:t>
            </w:r>
          </w:p>
        </w:tc>
      </w:tr>
      <w:tr w:rsidR="00113568" w:rsidRPr="00113568" w:rsidTr="00113568">
        <w:tc>
          <w:tcPr>
            <w:tcW w:w="4500" w:type="dxa"/>
            <w:tcBorders>
              <w:top w:val="nil"/>
              <w:left w:val="single" w:sz="8" w:space="0" w:color="000000"/>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Аренда</w:t>
            </w:r>
          </w:p>
        </w:tc>
        <w:tc>
          <w:tcPr>
            <w:tcW w:w="1560" w:type="dxa"/>
            <w:tcBorders>
              <w:top w:val="nil"/>
              <w:left w:val="nil"/>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jc w:val="right"/>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875 000</w:t>
            </w:r>
          </w:p>
        </w:tc>
        <w:tc>
          <w:tcPr>
            <w:tcW w:w="3315" w:type="dxa"/>
            <w:tcBorders>
              <w:top w:val="nil"/>
              <w:left w:val="nil"/>
              <w:bottom w:val="single" w:sz="8" w:space="0" w:color="7C97D2"/>
              <w:right w:val="single" w:sz="8" w:space="0" w:color="000000"/>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Calibri" w:eastAsia="Times New Roman" w:hAnsi="Calibri" w:cs="Calibri"/>
                <w:sz w:val="24"/>
                <w:szCs w:val="24"/>
                <w:lang w:eastAsia="ru-RU"/>
              </w:rPr>
              <w:t> </w:t>
            </w:r>
          </w:p>
        </w:tc>
      </w:tr>
      <w:tr w:rsidR="00113568" w:rsidRPr="00113568" w:rsidTr="00113568">
        <w:tc>
          <w:tcPr>
            <w:tcW w:w="4500" w:type="dxa"/>
            <w:tcBorders>
              <w:top w:val="nil"/>
              <w:left w:val="single" w:sz="8" w:space="0" w:color="000000"/>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Канцтовары, расходные материалы</w:t>
            </w:r>
          </w:p>
        </w:tc>
        <w:tc>
          <w:tcPr>
            <w:tcW w:w="1560" w:type="dxa"/>
            <w:tcBorders>
              <w:top w:val="nil"/>
              <w:left w:val="nil"/>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jc w:val="right"/>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200 000</w:t>
            </w:r>
          </w:p>
        </w:tc>
        <w:tc>
          <w:tcPr>
            <w:tcW w:w="3315" w:type="dxa"/>
            <w:tcBorders>
              <w:top w:val="nil"/>
              <w:left w:val="nil"/>
              <w:bottom w:val="single" w:sz="8" w:space="0" w:color="7C97D2"/>
              <w:right w:val="single" w:sz="8" w:space="0" w:color="000000"/>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Calibri" w:eastAsia="Times New Roman" w:hAnsi="Calibri" w:cs="Calibri"/>
                <w:sz w:val="24"/>
                <w:szCs w:val="24"/>
                <w:lang w:eastAsia="ru-RU"/>
              </w:rPr>
              <w:t> </w:t>
            </w:r>
          </w:p>
        </w:tc>
      </w:tr>
      <w:tr w:rsidR="00113568" w:rsidRPr="00113568" w:rsidTr="00113568">
        <w:tc>
          <w:tcPr>
            <w:tcW w:w="4500" w:type="dxa"/>
            <w:tcBorders>
              <w:top w:val="nil"/>
              <w:left w:val="single" w:sz="8" w:space="0" w:color="000000"/>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Связь, услуги хостинга, аренда серверов</w:t>
            </w:r>
          </w:p>
        </w:tc>
        <w:tc>
          <w:tcPr>
            <w:tcW w:w="1560" w:type="dxa"/>
            <w:tcBorders>
              <w:top w:val="nil"/>
              <w:left w:val="nil"/>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jc w:val="right"/>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960 000</w:t>
            </w:r>
          </w:p>
        </w:tc>
        <w:tc>
          <w:tcPr>
            <w:tcW w:w="3315" w:type="dxa"/>
            <w:tcBorders>
              <w:top w:val="nil"/>
              <w:left w:val="nil"/>
              <w:bottom w:val="single" w:sz="8" w:space="0" w:color="7C97D2"/>
              <w:right w:val="single" w:sz="8" w:space="0" w:color="000000"/>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Calibri" w:eastAsia="Times New Roman" w:hAnsi="Calibri" w:cs="Calibri"/>
                <w:sz w:val="24"/>
                <w:szCs w:val="24"/>
                <w:lang w:eastAsia="ru-RU"/>
              </w:rPr>
              <w:t> </w:t>
            </w:r>
          </w:p>
        </w:tc>
      </w:tr>
      <w:tr w:rsidR="00113568" w:rsidRPr="00113568" w:rsidTr="00113568">
        <w:tc>
          <w:tcPr>
            <w:tcW w:w="4500" w:type="dxa"/>
            <w:tcBorders>
              <w:top w:val="nil"/>
              <w:left w:val="single" w:sz="8" w:space="0" w:color="000000"/>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Актуализация, совершенствование и ведение ПО</w:t>
            </w:r>
          </w:p>
        </w:tc>
        <w:tc>
          <w:tcPr>
            <w:tcW w:w="1560" w:type="dxa"/>
            <w:tcBorders>
              <w:top w:val="nil"/>
              <w:left w:val="nil"/>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jc w:val="right"/>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8 600 000</w:t>
            </w:r>
          </w:p>
        </w:tc>
        <w:tc>
          <w:tcPr>
            <w:tcW w:w="3315" w:type="dxa"/>
            <w:tcBorders>
              <w:top w:val="nil"/>
              <w:left w:val="nil"/>
              <w:bottom w:val="single" w:sz="8" w:space="0" w:color="7C97D2"/>
              <w:right w:val="single" w:sz="8" w:space="0" w:color="000000"/>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 xml:space="preserve">3 600 </w:t>
            </w:r>
            <w:proofErr w:type="spellStart"/>
            <w:r w:rsidRPr="00113568">
              <w:rPr>
                <w:rFonts w:ascii="Arial" w:eastAsia="Times New Roman" w:hAnsi="Arial" w:cs="Arial"/>
                <w:color w:val="000000"/>
                <w:sz w:val="24"/>
                <w:szCs w:val="24"/>
                <w:lang w:eastAsia="ru-RU"/>
              </w:rPr>
              <w:t>тыс</w:t>
            </w:r>
            <w:proofErr w:type="spellEnd"/>
            <w:r w:rsidRPr="00113568">
              <w:rPr>
                <w:rFonts w:ascii="Arial" w:eastAsia="Times New Roman" w:hAnsi="Arial" w:cs="Arial"/>
                <w:color w:val="000000"/>
                <w:sz w:val="24"/>
                <w:szCs w:val="24"/>
                <w:lang w:eastAsia="ru-RU"/>
              </w:rPr>
              <w:t xml:space="preserve"> ежемесячное обслуживание    5 000 </w:t>
            </w:r>
            <w:proofErr w:type="spellStart"/>
            <w:r w:rsidRPr="00113568">
              <w:rPr>
                <w:rFonts w:ascii="Arial" w:eastAsia="Times New Roman" w:hAnsi="Arial" w:cs="Arial"/>
                <w:color w:val="000000"/>
                <w:sz w:val="24"/>
                <w:szCs w:val="24"/>
                <w:lang w:eastAsia="ru-RU"/>
              </w:rPr>
              <w:t>тыс</w:t>
            </w:r>
            <w:proofErr w:type="spellEnd"/>
            <w:r w:rsidRPr="00113568">
              <w:rPr>
                <w:rFonts w:ascii="Arial" w:eastAsia="Times New Roman" w:hAnsi="Arial" w:cs="Arial"/>
                <w:color w:val="000000"/>
                <w:sz w:val="24"/>
                <w:szCs w:val="24"/>
                <w:lang w:eastAsia="ru-RU"/>
              </w:rPr>
              <w:t xml:space="preserve"> доработки</w:t>
            </w:r>
          </w:p>
        </w:tc>
      </w:tr>
      <w:tr w:rsidR="00113568" w:rsidRPr="00113568" w:rsidTr="00113568">
        <w:tc>
          <w:tcPr>
            <w:tcW w:w="4500" w:type="dxa"/>
            <w:tcBorders>
              <w:top w:val="nil"/>
              <w:left w:val="single" w:sz="8" w:space="0" w:color="000000"/>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Ремонт, обслуживание основных фондов, расходные материалы</w:t>
            </w:r>
          </w:p>
        </w:tc>
        <w:tc>
          <w:tcPr>
            <w:tcW w:w="1560" w:type="dxa"/>
            <w:tcBorders>
              <w:top w:val="nil"/>
              <w:left w:val="nil"/>
              <w:bottom w:val="single" w:sz="8" w:space="0" w:color="7C97D2"/>
              <w:right w:val="single" w:sz="8" w:space="0" w:color="7C97D2"/>
            </w:tcBorders>
            <w:tcMar>
              <w:top w:w="0" w:type="dxa"/>
              <w:left w:w="108" w:type="dxa"/>
              <w:bottom w:w="0" w:type="dxa"/>
              <w:right w:w="108" w:type="dxa"/>
            </w:tcMar>
            <w:hideMark/>
          </w:tcPr>
          <w:p w:rsidR="00113568" w:rsidRPr="00113568" w:rsidRDefault="00113568" w:rsidP="00113568">
            <w:pPr>
              <w:spacing w:after="0" w:line="240" w:lineRule="auto"/>
              <w:jc w:val="right"/>
              <w:rPr>
                <w:rFonts w:ascii="Calibri" w:eastAsia="Times New Roman" w:hAnsi="Calibri" w:cs="Calibri"/>
                <w:sz w:val="24"/>
                <w:szCs w:val="24"/>
                <w:lang w:eastAsia="ru-RU"/>
              </w:rPr>
            </w:pPr>
            <w:r w:rsidRPr="00113568">
              <w:rPr>
                <w:rFonts w:ascii="Arial" w:eastAsia="Times New Roman" w:hAnsi="Arial" w:cs="Arial"/>
                <w:color w:val="000000"/>
                <w:sz w:val="24"/>
                <w:szCs w:val="24"/>
                <w:lang w:eastAsia="ru-RU"/>
              </w:rPr>
              <w:t>120 000</w:t>
            </w:r>
          </w:p>
        </w:tc>
        <w:tc>
          <w:tcPr>
            <w:tcW w:w="3315" w:type="dxa"/>
            <w:tcBorders>
              <w:top w:val="nil"/>
              <w:left w:val="nil"/>
              <w:bottom w:val="single" w:sz="8" w:space="0" w:color="7C97D2"/>
              <w:right w:val="single" w:sz="8" w:space="0" w:color="000000"/>
            </w:tcBorders>
            <w:tcMar>
              <w:top w:w="0" w:type="dxa"/>
              <w:left w:w="108" w:type="dxa"/>
              <w:bottom w:w="0" w:type="dxa"/>
              <w:right w:w="108" w:type="dxa"/>
            </w:tcMar>
            <w:hideMark/>
          </w:tcPr>
          <w:p w:rsidR="00113568" w:rsidRPr="00113568" w:rsidRDefault="00113568" w:rsidP="00113568">
            <w:pPr>
              <w:spacing w:after="0" w:line="240" w:lineRule="auto"/>
              <w:rPr>
                <w:rFonts w:ascii="Calibri" w:eastAsia="Times New Roman" w:hAnsi="Calibri" w:cs="Calibri"/>
                <w:sz w:val="24"/>
                <w:szCs w:val="24"/>
                <w:lang w:eastAsia="ru-RU"/>
              </w:rPr>
            </w:pPr>
            <w:r w:rsidRPr="00113568">
              <w:rPr>
                <w:rFonts w:ascii="Calibri" w:eastAsia="Times New Roman" w:hAnsi="Calibri" w:cs="Calibri"/>
                <w:sz w:val="24"/>
                <w:szCs w:val="24"/>
                <w:lang w:eastAsia="ru-RU"/>
              </w:rPr>
              <w:t> </w:t>
            </w:r>
          </w:p>
        </w:tc>
      </w:tr>
      <w:tr w:rsidR="00113568" w:rsidRPr="00113568" w:rsidTr="00113568">
        <w:tc>
          <w:tcPr>
            <w:tcW w:w="4500" w:type="dxa"/>
            <w:tcBorders>
              <w:top w:val="nil"/>
              <w:left w:val="single" w:sz="8" w:space="0" w:color="000000"/>
              <w:bottom w:val="single" w:sz="8" w:space="0" w:color="000000"/>
              <w:right w:val="single" w:sz="8" w:space="0" w:color="7C97D2"/>
            </w:tcBorders>
            <w:shd w:val="clear" w:color="auto" w:fill="D0D9EF"/>
            <w:tcMar>
              <w:top w:w="0" w:type="dxa"/>
              <w:left w:w="108" w:type="dxa"/>
              <w:bottom w:w="0" w:type="dxa"/>
              <w:right w:w="108" w:type="dxa"/>
            </w:tcMar>
            <w:hideMark/>
          </w:tcPr>
          <w:p w:rsidR="00113568" w:rsidRPr="00113568" w:rsidRDefault="00113568" w:rsidP="00113568">
            <w:pPr>
              <w:spacing w:after="0" w:line="240" w:lineRule="auto"/>
              <w:ind w:firstLine="482"/>
              <w:rPr>
                <w:rFonts w:ascii="Calibri" w:eastAsia="Times New Roman" w:hAnsi="Calibri" w:cs="Calibri"/>
                <w:sz w:val="24"/>
                <w:szCs w:val="24"/>
                <w:lang w:eastAsia="ru-RU"/>
              </w:rPr>
            </w:pPr>
            <w:r w:rsidRPr="00113568">
              <w:rPr>
                <w:rFonts w:ascii="Calibri" w:eastAsia="Times New Roman" w:hAnsi="Calibri" w:cs="Calibri"/>
                <w:sz w:val="24"/>
                <w:szCs w:val="24"/>
                <w:lang w:eastAsia="ru-RU"/>
              </w:rPr>
              <w:t> </w:t>
            </w:r>
          </w:p>
        </w:tc>
        <w:tc>
          <w:tcPr>
            <w:tcW w:w="1560" w:type="dxa"/>
            <w:tcBorders>
              <w:top w:val="nil"/>
              <w:left w:val="nil"/>
              <w:bottom w:val="single" w:sz="8" w:space="0" w:color="000000"/>
              <w:right w:val="single" w:sz="8" w:space="0" w:color="7C97D2"/>
            </w:tcBorders>
            <w:shd w:val="clear" w:color="auto" w:fill="D0D9EF"/>
            <w:tcMar>
              <w:top w:w="0" w:type="dxa"/>
              <w:left w:w="108" w:type="dxa"/>
              <w:bottom w:w="0" w:type="dxa"/>
              <w:right w:w="108" w:type="dxa"/>
            </w:tcMar>
            <w:hideMark/>
          </w:tcPr>
          <w:p w:rsidR="00113568" w:rsidRPr="00113568" w:rsidRDefault="00113568" w:rsidP="00113568">
            <w:pPr>
              <w:spacing w:after="0" w:line="240" w:lineRule="auto"/>
              <w:jc w:val="right"/>
              <w:rPr>
                <w:rFonts w:ascii="Calibri" w:eastAsia="Times New Roman" w:hAnsi="Calibri" w:cs="Calibri"/>
                <w:sz w:val="24"/>
                <w:szCs w:val="24"/>
                <w:lang w:eastAsia="ru-RU"/>
              </w:rPr>
            </w:pPr>
            <w:r w:rsidRPr="00113568">
              <w:rPr>
                <w:rFonts w:ascii="Arial" w:eastAsia="Times New Roman" w:hAnsi="Arial" w:cs="Arial"/>
                <w:b/>
                <w:bCs/>
                <w:color w:val="000000"/>
                <w:sz w:val="24"/>
                <w:szCs w:val="24"/>
                <w:lang w:eastAsia="ru-RU"/>
              </w:rPr>
              <w:t>39 161 528</w:t>
            </w:r>
          </w:p>
        </w:tc>
        <w:tc>
          <w:tcPr>
            <w:tcW w:w="3315" w:type="dxa"/>
            <w:tcBorders>
              <w:top w:val="nil"/>
              <w:left w:val="nil"/>
              <w:bottom w:val="single" w:sz="8" w:space="0" w:color="000000"/>
              <w:right w:val="single" w:sz="8" w:space="0" w:color="000000"/>
            </w:tcBorders>
            <w:shd w:val="clear" w:color="auto" w:fill="D0D9EF"/>
            <w:tcMar>
              <w:top w:w="0" w:type="dxa"/>
              <w:left w:w="108" w:type="dxa"/>
              <w:bottom w:w="0" w:type="dxa"/>
              <w:right w:w="108" w:type="dxa"/>
            </w:tcMar>
            <w:hideMark/>
          </w:tcPr>
          <w:p w:rsidR="00113568" w:rsidRPr="00113568" w:rsidRDefault="00113568" w:rsidP="00113568">
            <w:pPr>
              <w:spacing w:after="0" w:line="240" w:lineRule="auto"/>
              <w:jc w:val="right"/>
              <w:rPr>
                <w:rFonts w:ascii="Calibri" w:eastAsia="Times New Roman" w:hAnsi="Calibri" w:cs="Calibri"/>
                <w:sz w:val="24"/>
                <w:szCs w:val="24"/>
                <w:lang w:eastAsia="ru-RU"/>
              </w:rPr>
            </w:pPr>
            <w:r w:rsidRPr="00113568">
              <w:rPr>
                <w:rFonts w:ascii="Calibri" w:eastAsia="Times New Roman" w:hAnsi="Calibri" w:cs="Calibri"/>
                <w:sz w:val="24"/>
                <w:szCs w:val="24"/>
                <w:lang w:eastAsia="ru-RU"/>
              </w:rPr>
              <w:t> </w:t>
            </w:r>
          </w:p>
        </w:tc>
      </w:tr>
    </w:tbl>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Calibri" w:eastAsia="Times New Roman" w:hAnsi="Calibri" w:cs="Calibri"/>
          <w:color w:val="000000"/>
          <w:sz w:val="24"/>
          <w:szCs w:val="24"/>
          <w:lang w:eastAsia="ru-RU"/>
        </w:rPr>
        <w:t> </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В области популяризации строительных профессий:</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i/>
          <w:iCs/>
          <w:color w:val="000000"/>
          <w:sz w:val="28"/>
          <w:szCs w:val="28"/>
          <w:lang w:eastAsia="ru-RU"/>
        </w:rPr>
        <w:t>- Популяризация строительных профессий, включая конкурсы профессионального мастерства – 31 000 000 рублей (в 2020 году по смете запланировано 18 млн рублей).</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 xml:space="preserve">Увеличение расходной части по статье предусматривает участие в региональных этапах конкурса «Строймастер» в 74 субъектах РФ на условиях софинансирования 50% от общей суммы договора, но не более 200 000 рублей и организация Всероссийского этапа конкурса «Строймастер» с учетом двух дополнительных номинаций. Создание и реализация Концепции развития </w:t>
      </w:r>
      <w:r w:rsidRPr="00113568">
        <w:rPr>
          <w:rFonts w:ascii="Times New Roman" w:eastAsia="Times New Roman" w:hAnsi="Times New Roman" w:cs="Times New Roman"/>
          <w:color w:val="000000"/>
          <w:sz w:val="28"/>
          <w:szCs w:val="28"/>
          <w:lang w:eastAsia="ru-RU"/>
        </w:rPr>
        <w:lastRenderedPageBreak/>
        <w:t>конкурсов профессионального мастерства, которая будет включать комплекс базовых решений, направленных на повышение эффективности и престижа Конкурса, расширение форматов его проведения, вовлечение в мероприятия Конкурса широкого круга участников.</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i/>
          <w:iCs/>
          <w:color w:val="000000"/>
          <w:sz w:val="28"/>
          <w:szCs w:val="28"/>
          <w:lang w:eastAsia="ru-RU"/>
        </w:rPr>
        <w:t>- Координационная работа в федеральных округах – 60 000 000 рублей (в 2020 году по смете запланировано 50 млн рублей). </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Увеличение статьи на 10 000 000 рублей по сравнению с 2020 годом связано с участием в финансировании дополнительных номинаций конкурса «Строймастер» из расчета 1 000 000 рублей на один федеральный округ или город федерального значения.</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В области цифровизации:</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i/>
          <w:iCs/>
          <w:color w:val="000000"/>
          <w:sz w:val="28"/>
          <w:szCs w:val="28"/>
          <w:lang w:eastAsia="ru-RU"/>
        </w:rPr>
        <w:t>- Ведение, актуализация и совершенствование Единого реестра членов СРО – 20 000 000 рублей (в смете 2020 года предусмотрено 4 млн рублей на цели поддержания работы ЕРЧ)</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Разработка Единого реестра обязательств членов СРО с учетом ожидаемых в 2020 году изменений в Градостроительный кодекс, а также решение вопросов интеграции реестров НОСТРОЙ и СРО с закрытой частью ЕИС в сфере закупок, включение в реестры сведений о специалистах.  Необходимость разработки нового функционала, в случае принятия законопроекта 02/04/03-18/00079441 о создании Единого федерального реестра сведений о членах саморегулируемых организаций и их обязательствах.</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i/>
          <w:iCs/>
          <w:color w:val="000000"/>
          <w:sz w:val="28"/>
          <w:szCs w:val="28"/>
          <w:lang w:eastAsia="ru-RU"/>
        </w:rPr>
        <w:t>- Формирование единого информационного пространства «НОСТРОЙ-СРО-члены СРО-органы государственной власти» - 10 000 000 рублей (в 2020 году запланировано 5 млн рублей).</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Разработка единых протоколов и программно-аппаратных комплексов обмена данными, интеграция с государственными и иными информационными системами, доработка информационных систем Ассоциации для соответствия требованиям такой интеграции. Разработка новых сервисов и интеграция с уже существующими, для предоставления их СРО в рамках Единого информационного пространства (ЛК СРО, ЛК члена СРО, ЛК специалиста НРС, ЛК заказчика, ЛК органа ГСН и пр.).</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i/>
          <w:iCs/>
          <w:color w:val="000000"/>
          <w:sz w:val="28"/>
          <w:szCs w:val="28"/>
          <w:lang w:eastAsia="ru-RU"/>
        </w:rPr>
        <w:t>- Резерв Совета – 50 000 000 рублей (в 2020 году расчетное значение резерва Совета – 36 991 332 рубля).</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 xml:space="preserve">Резерв Совета формируется как разница между планируемыми поступлениями и выплатами (расходами). По сути, статья «Резерв Совета» представляет собой планируемый остаток денежных средств для стабильной работы по целевым направлениям в случае разрывов денежных оборотов в части поступления и расходования. Расходование по статье «Резерв Совета» осуществляется согласно принятым решениям Совета Ассоциации на </w:t>
      </w:r>
      <w:r w:rsidRPr="00113568">
        <w:rPr>
          <w:rFonts w:ascii="Times New Roman" w:eastAsia="Times New Roman" w:hAnsi="Times New Roman" w:cs="Times New Roman"/>
          <w:color w:val="000000"/>
          <w:sz w:val="28"/>
          <w:szCs w:val="28"/>
          <w:lang w:eastAsia="ru-RU"/>
        </w:rPr>
        <w:lastRenderedPageBreak/>
        <w:t>финансирование проектов и мероприятий, необходимость участия в которых выявляется в течение отчетного периода.</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Calibri" w:eastAsia="Times New Roman" w:hAnsi="Calibri" w:cs="Calibri"/>
          <w:color w:val="000000"/>
          <w:sz w:val="24"/>
          <w:szCs w:val="24"/>
          <w:lang w:eastAsia="ru-RU"/>
        </w:rPr>
        <w:t> </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b/>
          <w:bCs/>
          <w:color w:val="000000"/>
          <w:sz w:val="28"/>
          <w:szCs w:val="28"/>
          <w:u w:val="single"/>
          <w:lang w:eastAsia="ru-RU"/>
        </w:rPr>
        <w:t>ВЫВОДЫ:</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Calibri" w:eastAsia="Times New Roman" w:hAnsi="Calibri" w:cs="Calibri"/>
          <w:color w:val="000000"/>
          <w:sz w:val="24"/>
          <w:szCs w:val="24"/>
          <w:lang w:eastAsia="ru-RU"/>
        </w:rPr>
        <w:t> </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Таким образом, в результате расширения функциональных целевых направлений деятельности Ассоциации и на основе проекта Финансового плана на 2021 год существует необходимость повышения членских взносов.</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Дефицит бюджета по проекту Финансового плана на 2021 год составит </w:t>
      </w:r>
      <w:r w:rsidRPr="00113568">
        <w:rPr>
          <w:rFonts w:ascii="Times New Roman" w:eastAsia="Times New Roman" w:hAnsi="Times New Roman" w:cs="Times New Roman"/>
          <w:b/>
          <w:bCs/>
          <w:color w:val="000000"/>
          <w:sz w:val="28"/>
          <w:szCs w:val="28"/>
          <w:lang w:eastAsia="ru-RU"/>
        </w:rPr>
        <w:t>- 267 763 528 </w:t>
      </w:r>
      <w:r w:rsidRPr="00113568">
        <w:rPr>
          <w:rFonts w:ascii="Times New Roman" w:eastAsia="Times New Roman" w:hAnsi="Times New Roman" w:cs="Times New Roman"/>
          <w:color w:val="000000"/>
          <w:sz w:val="28"/>
          <w:szCs w:val="28"/>
          <w:lang w:eastAsia="ru-RU"/>
        </w:rPr>
        <w:t>рублей. При условии сохранения количества членов СРО на уровне 92 000, расчетная величина увеличения членских взносов для покрытия дефицита составляет 2 910 рублей. С учетом округления при условии сохранения указанных выше направлений деятельности разумным представляется увеличение взносов на уставную деятельность Ассоциации с 1 января 2021 года в размере 3000 рублей на одно члена СРО. В этом случае Резерв Совета увеличится на 8 млн рублей и составит 58 млн рублей.</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Calibri" w:eastAsia="Times New Roman" w:hAnsi="Calibri" w:cs="Calibri"/>
          <w:color w:val="000000"/>
          <w:sz w:val="24"/>
          <w:szCs w:val="24"/>
          <w:lang w:eastAsia="ru-RU"/>
        </w:rPr>
        <w:t> </w:t>
      </w:r>
    </w:p>
    <w:p w:rsidR="00113568" w:rsidRPr="00113568" w:rsidRDefault="00113568" w:rsidP="00113568">
      <w:pPr>
        <w:shd w:val="clear" w:color="auto" w:fill="FFFFFF"/>
        <w:spacing w:after="0" w:line="360" w:lineRule="atLeast"/>
        <w:ind w:firstLine="680"/>
        <w:jc w:val="both"/>
        <w:rPr>
          <w:rFonts w:ascii="Calibri" w:eastAsia="Times New Roman" w:hAnsi="Calibri" w:cs="Calibri"/>
          <w:color w:val="000000"/>
          <w:sz w:val="24"/>
          <w:szCs w:val="24"/>
          <w:lang w:eastAsia="ru-RU"/>
        </w:rPr>
      </w:pPr>
      <w:r w:rsidRPr="00113568">
        <w:rPr>
          <w:rFonts w:ascii="Times New Roman" w:eastAsia="Times New Roman" w:hAnsi="Times New Roman" w:cs="Times New Roman"/>
          <w:color w:val="000000"/>
          <w:sz w:val="28"/>
          <w:szCs w:val="28"/>
          <w:lang w:eastAsia="ru-RU"/>
        </w:rPr>
        <w:t>Координаторам предлагается рассмотреть изложенные выше предложения о развитии деятельности Ассоциации и обсудить с профессиональным сообществом необходимость и объем проведения этих изменений. По результатам обсуждения будет сформирована окончательная позиция по размеру увеличения членских взносов на уставную деятельность Ассоциации с 1 января 2021 года.</w:t>
      </w:r>
    </w:p>
    <w:p w:rsidR="0022443A" w:rsidRPr="000B5A24" w:rsidRDefault="0022443A" w:rsidP="000B5A24">
      <w:pPr>
        <w:rPr>
          <w:rFonts w:ascii="Times New Roman" w:hAnsi="Times New Roman" w:cs="Times New Roman"/>
          <w:color w:val="000000" w:themeColor="text1"/>
          <w:sz w:val="24"/>
          <w:szCs w:val="24"/>
        </w:rPr>
      </w:pPr>
      <w:bookmarkStart w:id="0" w:name="_GoBack"/>
      <w:bookmarkEnd w:id="0"/>
    </w:p>
    <w:sectPr w:rsidR="0022443A" w:rsidRPr="000B5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39"/>
    <w:rsid w:val="00060BE8"/>
    <w:rsid w:val="000B5A24"/>
    <w:rsid w:val="00113568"/>
    <w:rsid w:val="0014360C"/>
    <w:rsid w:val="0022443A"/>
    <w:rsid w:val="002D062A"/>
    <w:rsid w:val="00AA2273"/>
    <w:rsid w:val="00B70F23"/>
    <w:rsid w:val="00D8768D"/>
    <w:rsid w:val="00F86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C95A"/>
  <w15:chartTrackingRefBased/>
  <w15:docId w15:val="{9FF3A7EF-FC50-4925-BC5E-CB3F8CA9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0986">
      <w:bodyDiv w:val="1"/>
      <w:marLeft w:val="0"/>
      <w:marRight w:val="0"/>
      <w:marTop w:val="0"/>
      <w:marBottom w:val="0"/>
      <w:divBdr>
        <w:top w:val="none" w:sz="0" w:space="0" w:color="auto"/>
        <w:left w:val="none" w:sz="0" w:space="0" w:color="auto"/>
        <w:bottom w:val="none" w:sz="0" w:space="0" w:color="auto"/>
        <w:right w:val="none" w:sz="0" w:space="0" w:color="auto"/>
      </w:divBdr>
      <w:divsChild>
        <w:div w:id="225073692">
          <w:marLeft w:val="0"/>
          <w:marRight w:val="0"/>
          <w:marTop w:val="0"/>
          <w:marBottom w:val="0"/>
          <w:divBdr>
            <w:top w:val="none" w:sz="0" w:space="0" w:color="auto"/>
            <w:left w:val="none" w:sz="0" w:space="0" w:color="auto"/>
            <w:bottom w:val="none" w:sz="0" w:space="0" w:color="auto"/>
            <w:right w:val="none" w:sz="0" w:space="0" w:color="auto"/>
          </w:divBdr>
        </w:div>
      </w:divsChild>
    </w:div>
    <w:div w:id="1735426018">
      <w:bodyDiv w:val="1"/>
      <w:marLeft w:val="0"/>
      <w:marRight w:val="0"/>
      <w:marTop w:val="0"/>
      <w:marBottom w:val="0"/>
      <w:divBdr>
        <w:top w:val="none" w:sz="0" w:space="0" w:color="auto"/>
        <w:left w:val="none" w:sz="0" w:space="0" w:color="auto"/>
        <w:bottom w:val="none" w:sz="0" w:space="0" w:color="auto"/>
        <w:right w:val="none" w:sz="0" w:space="0" w:color="auto"/>
      </w:divBdr>
      <w:divsChild>
        <w:div w:id="683239751">
          <w:marLeft w:val="0"/>
          <w:marRight w:val="0"/>
          <w:marTop w:val="0"/>
          <w:marBottom w:val="0"/>
          <w:divBdr>
            <w:top w:val="none" w:sz="0" w:space="0" w:color="auto"/>
            <w:left w:val="none" w:sz="0" w:space="0" w:color="auto"/>
            <w:bottom w:val="none" w:sz="0" w:space="0" w:color="auto"/>
            <w:right w:val="none" w:sz="0" w:space="0" w:color="auto"/>
          </w:divBdr>
          <w:divsChild>
            <w:div w:id="1866090167">
              <w:marLeft w:val="0"/>
              <w:marRight w:val="0"/>
              <w:marTop w:val="0"/>
              <w:marBottom w:val="0"/>
              <w:divBdr>
                <w:top w:val="none" w:sz="0" w:space="0" w:color="auto"/>
                <w:left w:val="none" w:sz="0" w:space="0" w:color="auto"/>
                <w:bottom w:val="none" w:sz="0" w:space="0" w:color="auto"/>
                <w:right w:val="none" w:sz="0" w:space="0" w:color="auto"/>
              </w:divBdr>
            </w:div>
            <w:div w:id="1632981916">
              <w:marLeft w:val="1040"/>
              <w:marRight w:val="0"/>
              <w:marTop w:val="0"/>
              <w:marBottom w:val="0"/>
              <w:divBdr>
                <w:top w:val="none" w:sz="0" w:space="0" w:color="auto"/>
                <w:left w:val="none" w:sz="0" w:space="0" w:color="auto"/>
                <w:bottom w:val="none" w:sz="0" w:space="0" w:color="auto"/>
                <w:right w:val="none" w:sz="0" w:space="0" w:color="auto"/>
              </w:divBdr>
            </w:div>
            <w:div w:id="874390699">
              <w:marLeft w:val="1040"/>
              <w:marRight w:val="0"/>
              <w:marTop w:val="0"/>
              <w:marBottom w:val="0"/>
              <w:divBdr>
                <w:top w:val="none" w:sz="0" w:space="0" w:color="auto"/>
                <w:left w:val="none" w:sz="0" w:space="0" w:color="auto"/>
                <w:bottom w:val="none" w:sz="0" w:space="0" w:color="auto"/>
                <w:right w:val="none" w:sz="0" w:space="0" w:color="auto"/>
              </w:divBdr>
            </w:div>
            <w:div w:id="1417483834">
              <w:marLeft w:val="0"/>
              <w:marRight w:val="0"/>
              <w:marTop w:val="0"/>
              <w:marBottom w:val="0"/>
              <w:divBdr>
                <w:top w:val="none" w:sz="0" w:space="0" w:color="auto"/>
                <w:left w:val="none" w:sz="0" w:space="0" w:color="auto"/>
                <w:bottom w:val="none" w:sz="0" w:space="0" w:color="auto"/>
                <w:right w:val="none" w:sz="0" w:space="0" w:color="auto"/>
              </w:divBdr>
            </w:div>
            <w:div w:id="1062874947">
              <w:marLeft w:val="0"/>
              <w:marRight w:val="0"/>
              <w:marTop w:val="0"/>
              <w:marBottom w:val="0"/>
              <w:divBdr>
                <w:top w:val="none" w:sz="0" w:space="0" w:color="auto"/>
                <w:left w:val="none" w:sz="0" w:space="0" w:color="auto"/>
                <w:bottom w:val="none" w:sz="0" w:space="0" w:color="auto"/>
                <w:right w:val="none" w:sz="0" w:space="0" w:color="auto"/>
              </w:divBdr>
            </w:div>
            <w:div w:id="588393606">
              <w:marLeft w:val="0"/>
              <w:marRight w:val="0"/>
              <w:marTop w:val="0"/>
              <w:marBottom w:val="0"/>
              <w:divBdr>
                <w:top w:val="none" w:sz="0" w:space="0" w:color="auto"/>
                <w:left w:val="none" w:sz="0" w:space="0" w:color="auto"/>
                <w:bottom w:val="none" w:sz="0" w:space="0" w:color="auto"/>
                <w:right w:val="none" w:sz="0" w:space="0" w:color="auto"/>
              </w:divBdr>
            </w:div>
            <w:div w:id="523638106">
              <w:marLeft w:val="0"/>
              <w:marRight w:val="0"/>
              <w:marTop w:val="0"/>
              <w:marBottom w:val="0"/>
              <w:divBdr>
                <w:top w:val="none" w:sz="0" w:space="0" w:color="auto"/>
                <w:left w:val="none" w:sz="0" w:space="0" w:color="auto"/>
                <w:bottom w:val="none" w:sz="0" w:space="0" w:color="auto"/>
                <w:right w:val="none" w:sz="0" w:space="0" w:color="auto"/>
              </w:divBdr>
            </w:div>
            <w:div w:id="1033965196">
              <w:marLeft w:val="0"/>
              <w:marRight w:val="0"/>
              <w:marTop w:val="0"/>
              <w:marBottom w:val="0"/>
              <w:divBdr>
                <w:top w:val="none" w:sz="0" w:space="0" w:color="auto"/>
                <w:left w:val="none" w:sz="0" w:space="0" w:color="auto"/>
                <w:bottom w:val="none" w:sz="0" w:space="0" w:color="auto"/>
                <w:right w:val="none" w:sz="0" w:space="0" w:color="auto"/>
              </w:divBdr>
            </w:div>
            <w:div w:id="803429364">
              <w:marLeft w:val="0"/>
              <w:marRight w:val="0"/>
              <w:marTop w:val="0"/>
              <w:marBottom w:val="0"/>
              <w:divBdr>
                <w:top w:val="none" w:sz="0" w:space="0" w:color="auto"/>
                <w:left w:val="none" w:sz="0" w:space="0" w:color="auto"/>
                <w:bottom w:val="none" w:sz="0" w:space="0" w:color="auto"/>
                <w:right w:val="none" w:sz="0" w:space="0" w:color="auto"/>
              </w:divBdr>
            </w:div>
            <w:div w:id="1184326211">
              <w:marLeft w:val="0"/>
              <w:marRight w:val="0"/>
              <w:marTop w:val="0"/>
              <w:marBottom w:val="0"/>
              <w:divBdr>
                <w:top w:val="none" w:sz="0" w:space="0" w:color="auto"/>
                <w:left w:val="none" w:sz="0" w:space="0" w:color="auto"/>
                <w:bottom w:val="none" w:sz="0" w:space="0" w:color="auto"/>
                <w:right w:val="none" w:sz="0" w:space="0" w:color="auto"/>
              </w:divBdr>
            </w:div>
            <w:div w:id="1108966569">
              <w:marLeft w:val="0"/>
              <w:marRight w:val="0"/>
              <w:marTop w:val="0"/>
              <w:marBottom w:val="0"/>
              <w:divBdr>
                <w:top w:val="none" w:sz="0" w:space="0" w:color="auto"/>
                <w:left w:val="none" w:sz="0" w:space="0" w:color="auto"/>
                <w:bottom w:val="none" w:sz="0" w:space="0" w:color="auto"/>
                <w:right w:val="none" w:sz="0" w:space="0" w:color="auto"/>
              </w:divBdr>
            </w:div>
            <w:div w:id="421486619">
              <w:marLeft w:val="0"/>
              <w:marRight w:val="0"/>
              <w:marTop w:val="0"/>
              <w:marBottom w:val="0"/>
              <w:divBdr>
                <w:top w:val="none" w:sz="0" w:space="0" w:color="auto"/>
                <w:left w:val="none" w:sz="0" w:space="0" w:color="auto"/>
                <w:bottom w:val="none" w:sz="0" w:space="0" w:color="auto"/>
                <w:right w:val="none" w:sz="0" w:space="0" w:color="auto"/>
              </w:divBdr>
            </w:div>
            <w:div w:id="2108765326">
              <w:marLeft w:val="0"/>
              <w:marRight w:val="0"/>
              <w:marTop w:val="0"/>
              <w:marBottom w:val="0"/>
              <w:divBdr>
                <w:top w:val="none" w:sz="0" w:space="0" w:color="auto"/>
                <w:left w:val="none" w:sz="0" w:space="0" w:color="auto"/>
                <w:bottom w:val="none" w:sz="0" w:space="0" w:color="auto"/>
                <w:right w:val="none" w:sz="0" w:space="0" w:color="auto"/>
              </w:divBdr>
            </w:div>
            <w:div w:id="1345981736">
              <w:marLeft w:val="0"/>
              <w:marRight w:val="0"/>
              <w:marTop w:val="0"/>
              <w:marBottom w:val="0"/>
              <w:divBdr>
                <w:top w:val="none" w:sz="0" w:space="0" w:color="auto"/>
                <w:left w:val="none" w:sz="0" w:space="0" w:color="auto"/>
                <w:bottom w:val="none" w:sz="0" w:space="0" w:color="auto"/>
                <w:right w:val="none" w:sz="0" w:space="0" w:color="auto"/>
              </w:divBdr>
            </w:div>
            <w:div w:id="959610024">
              <w:marLeft w:val="0"/>
              <w:marRight w:val="0"/>
              <w:marTop w:val="0"/>
              <w:marBottom w:val="0"/>
              <w:divBdr>
                <w:top w:val="none" w:sz="0" w:space="0" w:color="auto"/>
                <w:left w:val="none" w:sz="0" w:space="0" w:color="auto"/>
                <w:bottom w:val="none" w:sz="0" w:space="0" w:color="auto"/>
                <w:right w:val="none" w:sz="0" w:space="0" w:color="auto"/>
              </w:divBdr>
            </w:div>
            <w:div w:id="1904176097">
              <w:marLeft w:val="0"/>
              <w:marRight w:val="0"/>
              <w:marTop w:val="0"/>
              <w:marBottom w:val="0"/>
              <w:divBdr>
                <w:top w:val="none" w:sz="0" w:space="0" w:color="auto"/>
                <w:left w:val="none" w:sz="0" w:space="0" w:color="auto"/>
                <w:bottom w:val="none" w:sz="0" w:space="0" w:color="auto"/>
                <w:right w:val="none" w:sz="0" w:space="0" w:color="auto"/>
              </w:divBdr>
            </w:div>
            <w:div w:id="792096189">
              <w:marLeft w:val="0"/>
              <w:marRight w:val="0"/>
              <w:marTop w:val="0"/>
              <w:marBottom w:val="0"/>
              <w:divBdr>
                <w:top w:val="none" w:sz="0" w:space="0" w:color="auto"/>
                <w:left w:val="none" w:sz="0" w:space="0" w:color="auto"/>
                <w:bottom w:val="none" w:sz="0" w:space="0" w:color="auto"/>
                <w:right w:val="none" w:sz="0" w:space="0" w:color="auto"/>
              </w:divBdr>
            </w:div>
            <w:div w:id="574164420">
              <w:marLeft w:val="0"/>
              <w:marRight w:val="0"/>
              <w:marTop w:val="0"/>
              <w:marBottom w:val="0"/>
              <w:divBdr>
                <w:top w:val="none" w:sz="0" w:space="0" w:color="auto"/>
                <w:left w:val="none" w:sz="0" w:space="0" w:color="auto"/>
                <w:bottom w:val="none" w:sz="0" w:space="0" w:color="auto"/>
                <w:right w:val="none" w:sz="0" w:space="0" w:color="auto"/>
              </w:divBdr>
            </w:div>
            <w:div w:id="649212625">
              <w:marLeft w:val="0"/>
              <w:marRight w:val="0"/>
              <w:marTop w:val="0"/>
              <w:marBottom w:val="0"/>
              <w:divBdr>
                <w:top w:val="none" w:sz="0" w:space="0" w:color="auto"/>
                <w:left w:val="none" w:sz="0" w:space="0" w:color="auto"/>
                <w:bottom w:val="none" w:sz="0" w:space="0" w:color="auto"/>
                <w:right w:val="none" w:sz="0" w:space="0" w:color="auto"/>
              </w:divBdr>
            </w:div>
            <w:div w:id="387728066">
              <w:marLeft w:val="0"/>
              <w:marRight w:val="0"/>
              <w:marTop w:val="0"/>
              <w:marBottom w:val="0"/>
              <w:divBdr>
                <w:top w:val="none" w:sz="0" w:space="0" w:color="auto"/>
                <w:left w:val="none" w:sz="0" w:space="0" w:color="auto"/>
                <w:bottom w:val="none" w:sz="0" w:space="0" w:color="auto"/>
                <w:right w:val="none" w:sz="0" w:space="0" w:color="auto"/>
              </w:divBdr>
            </w:div>
            <w:div w:id="734015293">
              <w:marLeft w:val="0"/>
              <w:marRight w:val="0"/>
              <w:marTop w:val="0"/>
              <w:marBottom w:val="0"/>
              <w:divBdr>
                <w:top w:val="none" w:sz="0" w:space="0" w:color="auto"/>
                <w:left w:val="none" w:sz="0" w:space="0" w:color="auto"/>
                <w:bottom w:val="none" w:sz="0" w:space="0" w:color="auto"/>
                <w:right w:val="none" w:sz="0" w:space="0" w:color="auto"/>
              </w:divBdr>
            </w:div>
            <w:div w:id="1252273179">
              <w:marLeft w:val="0"/>
              <w:marRight w:val="0"/>
              <w:marTop w:val="0"/>
              <w:marBottom w:val="0"/>
              <w:divBdr>
                <w:top w:val="none" w:sz="0" w:space="0" w:color="auto"/>
                <w:left w:val="none" w:sz="0" w:space="0" w:color="auto"/>
                <w:bottom w:val="none" w:sz="0" w:space="0" w:color="auto"/>
                <w:right w:val="none" w:sz="0" w:space="0" w:color="auto"/>
              </w:divBdr>
            </w:div>
            <w:div w:id="733235475">
              <w:marLeft w:val="0"/>
              <w:marRight w:val="0"/>
              <w:marTop w:val="0"/>
              <w:marBottom w:val="0"/>
              <w:divBdr>
                <w:top w:val="none" w:sz="0" w:space="0" w:color="auto"/>
                <w:left w:val="none" w:sz="0" w:space="0" w:color="auto"/>
                <w:bottom w:val="none" w:sz="0" w:space="0" w:color="auto"/>
                <w:right w:val="none" w:sz="0" w:space="0" w:color="auto"/>
              </w:divBdr>
            </w:div>
            <w:div w:id="1778986696">
              <w:marLeft w:val="0"/>
              <w:marRight w:val="0"/>
              <w:marTop w:val="0"/>
              <w:marBottom w:val="0"/>
              <w:divBdr>
                <w:top w:val="none" w:sz="0" w:space="0" w:color="auto"/>
                <w:left w:val="none" w:sz="0" w:space="0" w:color="auto"/>
                <w:bottom w:val="none" w:sz="0" w:space="0" w:color="auto"/>
                <w:right w:val="none" w:sz="0" w:space="0" w:color="auto"/>
              </w:divBdr>
            </w:div>
            <w:div w:id="1251819263">
              <w:marLeft w:val="0"/>
              <w:marRight w:val="0"/>
              <w:marTop w:val="0"/>
              <w:marBottom w:val="0"/>
              <w:divBdr>
                <w:top w:val="none" w:sz="0" w:space="0" w:color="auto"/>
                <w:left w:val="none" w:sz="0" w:space="0" w:color="auto"/>
                <w:bottom w:val="none" w:sz="0" w:space="0" w:color="auto"/>
                <w:right w:val="none" w:sz="0" w:space="0" w:color="auto"/>
              </w:divBdr>
            </w:div>
            <w:div w:id="1250114117">
              <w:marLeft w:val="0"/>
              <w:marRight w:val="0"/>
              <w:marTop w:val="0"/>
              <w:marBottom w:val="0"/>
              <w:divBdr>
                <w:top w:val="none" w:sz="0" w:space="0" w:color="auto"/>
                <w:left w:val="none" w:sz="0" w:space="0" w:color="auto"/>
                <w:bottom w:val="none" w:sz="0" w:space="0" w:color="auto"/>
                <w:right w:val="none" w:sz="0" w:space="0" w:color="auto"/>
              </w:divBdr>
            </w:div>
            <w:div w:id="86465354">
              <w:marLeft w:val="0"/>
              <w:marRight w:val="0"/>
              <w:marTop w:val="0"/>
              <w:marBottom w:val="0"/>
              <w:divBdr>
                <w:top w:val="none" w:sz="0" w:space="0" w:color="auto"/>
                <w:left w:val="none" w:sz="0" w:space="0" w:color="auto"/>
                <w:bottom w:val="none" w:sz="0" w:space="0" w:color="auto"/>
                <w:right w:val="none" w:sz="0" w:space="0" w:color="auto"/>
              </w:divBdr>
            </w:div>
            <w:div w:id="749081948">
              <w:marLeft w:val="1040"/>
              <w:marRight w:val="0"/>
              <w:marTop w:val="0"/>
              <w:marBottom w:val="0"/>
              <w:divBdr>
                <w:top w:val="none" w:sz="0" w:space="0" w:color="auto"/>
                <w:left w:val="none" w:sz="0" w:space="0" w:color="auto"/>
                <w:bottom w:val="none" w:sz="0" w:space="0" w:color="auto"/>
                <w:right w:val="none" w:sz="0" w:space="0" w:color="auto"/>
              </w:divBdr>
            </w:div>
            <w:div w:id="2105148685">
              <w:marLeft w:val="0"/>
              <w:marRight w:val="0"/>
              <w:marTop w:val="0"/>
              <w:marBottom w:val="0"/>
              <w:divBdr>
                <w:top w:val="none" w:sz="0" w:space="0" w:color="auto"/>
                <w:left w:val="none" w:sz="0" w:space="0" w:color="auto"/>
                <w:bottom w:val="none" w:sz="0" w:space="0" w:color="auto"/>
                <w:right w:val="none" w:sz="0" w:space="0" w:color="auto"/>
              </w:divBdr>
            </w:div>
            <w:div w:id="1059213001">
              <w:marLeft w:val="0"/>
              <w:marRight w:val="0"/>
              <w:marTop w:val="0"/>
              <w:marBottom w:val="0"/>
              <w:divBdr>
                <w:top w:val="none" w:sz="0" w:space="0" w:color="auto"/>
                <w:left w:val="none" w:sz="0" w:space="0" w:color="auto"/>
                <w:bottom w:val="none" w:sz="0" w:space="0" w:color="auto"/>
                <w:right w:val="none" w:sz="0" w:space="0" w:color="auto"/>
              </w:divBdr>
            </w:div>
            <w:div w:id="358550295">
              <w:marLeft w:val="0"/>
              <w:marRight w:val="0"/>
              <w:marTop w:val="0"/>
              <w:marBottom w:val="0"/>
              <w:divBdr>
                <w:top w:val="none" w:sz="0" w:space="0" w:color="auto"/>
                <w:left w:val="none" w:sz="0" w:space="0" w:color="auto"/>
                <w:bottom w:val="none" w:sz="0" w:space="0" w:color="auto"/>
                <w:right w:val="none" w:sz="0" w:space="0" w:color="auto"/>
              </w:divBdr>
            </w:div>
            <w:div w:id="113984004">
              <w:marLeft w:val="0"/>
              <w:marRight w:val="0"/>
              <w:marTop w:val="0"/>
              <w:marBottom w:val="0"/>
              <w:divBdr>
                <w:top w:val="none" w:sz="0" w:space="0" w:color="auto"/>
                <w:left w:val="none" w:sz="0" w:space="0" w:color="auto"/>
                <w:bottom w:val="none" w:sz="0" w:space="0" w:color="auto"/>
                <w:right w:val="none" w:sz="0" w:space="0" w:color="auto"/>
              </w:divBdr>
            </w:div>
            <w:div w:id="956105535">
              <w:marLeft w:val="0"/>
              <w:marRight w:val="0"/>
              <w:marTop w:val="0"/>
              <w:marBottom w:val="0"/>
              <w:divBdr>
                <w:top w:val="none" w:sz="0" w:space="0" w:color="auto"/>
                <w:left w:val="none" w:sz="0" w:space="0" w:color="auto"/>
                <w:bottom w:val="none" w:sz="0" w:space="0" w:color="auto"/>
                <w:right w:val="none" w:sz="0" w:space="0" w:color="auto"/>
              </w:divBdr>
            </w:div>
            <w:div w:id="2134471555">
              <w:marLeft w:val="0"/>
              <w:marRight w:val="0"/>
              <w:marTop w:val="0"/>
              <w:marBottom w:val="0"/>
              <w:divBdr>
                <w:top w:val="none" w:sz="0" w:space="0" w:color="auto"/>
                <w:left w:val="none" w:sz="0" w:space="0" w:color="auto"/>
                <w:bottom w:val="none" w:sz="0" w:space="0" w:color="auto"/>
                <w:right w:val="none" w:sz="0" w:space="0" w:color="auto"/>
              </w:divBdr>
            </w:div>
            <w:div w:id="38214206">
              <w:marLeft w:val="0"/>
              <w:marRight w:val="0"/>
              <w:marTop w:val="0"/>
              <w:marBottom w:val="0"/>
              <w:divBdr>
                <w:top w:val="none" w:sz="0" w:space="0" w:color="auto"/>
                <w:left w:val="none" w:sz="0" w:space="0" w:color="auto"/>
                <w:bottom w:val="none" w:sz="0" w:space="0" w:color="auto"/>
                <w:right w:val="none" w:sz="0" w:space="0" w:color="auto"/>
              </w:divBdr>
            </w:div>
            <w:div w:id="975569512">
              <w:marLeft w:val="0"/>
              <w:marRight w:val="0"/>
              <w:marTop w:val="0"/>
              <w:marBottom w:val="0"/>
              <w:divBdr>
                <w:top w:val="none" w:sz="0" w:space="0" w:color="auto"/>
                <w:left w:val="none" w:sz="0" w:space="0" w:color="auto"/>
                <w:bottom w:val="none" w:sz="0" w:space="0" w:color="auto"/>
                <w:right w:val="none" w:sz="0" w:space="0" w:color="auto"/>
              </w:divBdr>
            </w:div>
            <w:div w:id="1728603169">
              <w:marLeft w:val="0"/>
              <w:marRight w:val="0"/>
              <w:marTop w:val="0"/>
              <w:marBottom w:val="0"/>
              <w:divBdr>
                <w:top w:val="none" w:sz="0" w:space="0" w:color="auto"/>
                <w:left w:val="none" w:sz="0" w:space="0" w:color="auto"/>
                <w:bottom w:val="none" w:sz="0" w:space="0" w:color="auto"/>
                <w:right w:val="none" w:sz="0" w:space="0" w:color="auto"/>
              </w:divBdr>
            </w:div>
            <w:div w:id="1508255940">
              <w:marLeft w:val="0"/>
              <w:marRight w:val="0"/>
              <w:marTop w:val="0"/>
              <w:marBottom w:val="0"/>
              <w:divBdr>
                <w:top w:val="none" w:sz="0" w:space="0" w:color="auto"/>
                <w:left w:val="none" w:sz="0" w:space="0" w:color="auto"/>
                <w:bottom w:val="none" w:sz="0" w:space="0" w:color="auto"/>
                <w:right w:val="none" w:sz="0" w:space="0" w:color="auto"/>
              </w:divBdr>
            </w:div>
            <w:div w:id="2137409257">
              <w:marLeft w:val="0"/>
              <w:marRight w:val="0"/>
              <w:marTop w:val="0"/>
              <w:marBottom w:val="0"/>
              <w:divBdr>
                <w:top w:val="none" w:sz="0" w:space="0" w:color="auto"/>
                <w:left w:val="none" w:sz="0" w:space="0" w:color="auto"/>
                <w:bottom w:val="none" w:sz="0" w:space="0" w:color="auto"/>
                <w:right w:val="none" w:sz="0" w:space="0" w:color="auto"/>
              </w:divBdr>
            </w:div>
            <w:div w:id="2146776191">
              <w:marLeft w:val="0"/>
              <w:marRight w:val="0"/>
              <w:marTop w:val="0"/>
              <w:marBottom w:val="0"/>
              <w:divBdr>
                <w:top w:val="none" w:sz="0" w:space="0" w:color="auto"/>
                <w:left w:val="none" w:sz="0" w:space="0" w:color="auto"/>
                <w:bottom w:val="none" w:sz="0" w:space="0" w:color="auto"/>
                <w:right w:val="none" w:sz="0" w:space="0" w:color="auto"/>
              </w:divBdr>
            </w:div>
            <w:div w:id="351801833">
              <w:marLeft w:val="0"/>
              <w:marRight w:val="0"/>
              <w:marTop w:val="0"/>
              <w:marBottom w:val="0"/>
              <w:divBdr>
                <w:top w:val="none" w:sz="0" w:space="0" w:color="auto"/>
                <w:left w:val="none" w:sz="0" w:space="0" w:color="auto"/>
                <w:bottom w:val="none" w:sz="0" w:space="0" w:color="auto"/>
                <w:right w:val="none" w:sz="0" w:space="0" w:color="auto"/>
              </w:divBdr>
            </w:div>
            <w:div w:id="790637107">
              <w:marLeft w:val="0"/>
              <w:marRight w:val="0"/>
              <w:marTop w:val="0"/>
              <w:marBottom w:val="0"/>
              <w:divBdr>
                <w:top w:val="none" w:sz="0" w:space="0" w:color="auto"/>
                <w:left w:val="none" w:sz="0" w:space="0" w:color="auto"/>
                <w:bottom w:val="none" w:sz="0" w:space="0" w:color="auto"/>
                <w:right w:val="none" w:sz="0" w:space="0" w:color="auto"/>
              </w:divBdr>
            </w:div>
            <w:div w:id="2006275401">
              <w:marLeft w:val="0"/>
              <w:marRight w:val="0"/>
              <w:marTop w:val="0"/>
              <w:marBottom w:val="0"/>
              <w:divBdr>
                <w:top w:val="none" w:sz="0" w:space="0" w:color="auto"/>
                <w:left w:val="none" w:sz="0" w:space="0" w:color="auto"/>
                <w:bottom w:val="none" w:sz="0" w:space="0" w:color="auto"/>
                <w:right w:val="none" w:sz="0" w:space="0" w:color="auto"/>
              </w:divBdr>
            </w:div>
            <w:div w:id="1818570492">
              <w:marLeft w:val="0"/>
              <w:marRight w:val="0"/>
              <w:marTop w:val="0"/>
              <w:marBottom w:val="0"/>
              <w:divBdr>
                <w:top w:val="none" w:sz="0" w:space="0" w:color="auto"/>
                <w:left w:val="none" w:sz="0" w:space="0" w:color="auto"/>
                <w:bottom w:val="none" w:sz="0" w:space="0" w:color="auto"/>
                <w:right w:val="none" w:sz="0" w:space="0" w:color="auto"/>
              </w:divBdr>
            </w:div>
            <w:div w:id="272985334">
              <w:marLeft w:val="0"/>
              <w:marRight w:val="0"/>
              <w:marTop w:val="0"/>
              <w:marBottom w:val="0"/>
              <w:divBdr>
                <w:top w:val="none" w:sz="0" w:space="0" w:color="auto"/>
                <w:left w:val="none" w:sz="0" w:space="0" w:color="auto"/>
                <w:bottom w:val="none" w:sz="0" w:space="0" w:color="auto"/>
                <w:right w:val="none" w:sz="0" w:space="0" w:color="auto"/>
              </w:divBdr>
            </w:div>
            <w:div w:id="1257862173">
              <w:marLeft w:val="0"/>
              <w:marRight w:val="0"/>
              <w:marTop w:val="0"/>
              <w:marBottom w:val="0"/>
              <w:divBdr>
                <w:top w:val="none" w:sz="0" w:space="0" w:color="auto"/>
                <w:left w:val="none" w:sz="0" w:space="0" w:color="auto"/>
                <w:bottom w:val="none" w:sz="0" w:space="0" w:color="auto"/>
                <w:right w:val="none" w:sz="0" w:space="0" w:color="auto"/>
              </w:divBdr>
            </w:div>
            <w:div w:id="543254769">
              <w:marLeft w:val="0"/>
              <w:marRight w:val="0"/>
              <w:marTop w:val="0"/>
              <w:marBottom w:val="0"/>
              <w:divBdr>
                <w:top w:val="none" w:sz="0" w:space="0" w:color="auto"/>
                <w:left w:val="none" w:sz="0" w:space="0" w:color="auto"/>
                <w:bottom w:val="none" w:sz="0" w:space="0" w:color="auto"/>
                <w:right w:val="none" w:sz="0" w:space="0" w:color="auto"/>
              </w:divBdr>
            </w:div>
            <w:div w:id="89475818">
              <w:marLeft w:val="0"/>
              <w:marRight w:val="0"/>
              <w:marTop w:val="0"/>
              <w:marBottom w:val="0"/>
              <w:divBdr>
                <w:top w:val="none" w:sz="0" w:space="0" w:color="auto"/>
                <w:left w:val="none" w:sz="0" w:space="0" w:color="auto"/>
                <w:bottom w:val="none" w:sz="0" w:space="0" w:color="auto"/>
                <w:right w:val="none" w:sz="0" w:space="0" w:color="auto"/>
              </w:divBdr>
            </w:div>
            <w:div w:id="254246738">
              <w:marLeft w:val="0"/>
              <w:marRight w:val="0"/>
              <w:marTop w:val="0"/>
              <w:marBottom w:val="0"/>
              <w:divBdr>
                <w:top w:val="none" w:sz="0" w:space="0" w:color="auto"/>
                <w:left w:val="none" w:sz="0" w:space="0" w:color="auto"/>
                <w:bottom w:val="none" w:sz="0" w:space="0" w:color="auto"/>
                <w:right w:val="none" w:sz="0" w:space="0" w:color="auto"/>
              </w:divBdr>
            </w:div>
            <w:div w:id="182936514">
              <w:marLeft w:val="0"/>
              <w:marRight w:val="0"/>
              <w:marTop w:val="0"/>
              <w:marBottom w:val="0"/>
              <w:divBdr>
                <w:top w:val="none" w:sz="0" w:space="0" w:color="auto"/>
                <w:left w:val="none" w:sz="0" w:space="0" w:color="auto"/>
                <w:bottom w:val="none" w:sz="0" w:space="0" w:color="auto"/>
                <w:right w:val="none" w:sz="0" w:space="0" w:color="auto"/>
              </w:divBdr>
            </w:div>
            <w:div w:id="1039211103">
              <w:marLeft w:val="0"/>
              <w:marRight w:val="0"/>
              <w:marTop w:val="0"/>
              <w:marBottom w:val="0"/>
              <w:divBdr>
                <w:top w:val="none" w:sz="0" w:space="0" w:color="auto"/>
                <w:left w:val="none" w:sz="0" w:space="0" w:color="auto"/>
                <w:bottom w:val="none" w:sz="0" w:space="0" w:color="auto"/>
                <w:right w:val="none" w:sz="0" w:space="0" w:color="auto"/>
              </w:divBdr>
            </w:div>
            <w:div w:id="1142891270">
              <w:marLeft w:val="0"/>
              <w:marRight w:val="0"/>
              <w:marTop w:val="0"/>
              <w:marBottom w:val="0"/>
              <w:divBdr>
                <w:top w:val="none" w:sz="0" w:space="0" w:color="auto"/>
                <w:left w:val="none" w:sz="0" w:space="0" w:color="auto"/>
                <w:bottom w:val="none" w:sz="0" w:space="0" w:color="auto"/>
                <w:right w:val="none" w:sz="0" w:space="0" w:color="auto"/>
              </w:divBdr>
            </w:div>
            <w:div w:id="748887666">
              <w:marLeft w:val="0"/>
              <w:marRight w:val="0"/>
              <w:marTop w:val="0"/>
              <w:marBottom w:val="0"/>
              <w:divBdr>
                <w:top w:val="none" w:sz="0" w:space="0" w:color="auto"/>
                <w:left w:val="none" w:sz="0" w:space="0" w:color="auto"/>
                <w:bottom w:val="none" w:sz="0" w:space="0" w:color="auto"/>
                <w:right w:val="none" w:sz="0" w:space="0" w:color="auto"/>
              </w:divBdr>
            </w:div>
            <w:div w:id="257258421">
              <w:marLeft w:val="0"/>
              <w:marRight w:val="0"/>
              <w:marTop w:val="0"/>
              <w:marBottom w:val="0"/>
              <w:divBdr>
                <w:top w:val="none" w:sz="0" w:space="0" w:color="auto"/>
                <w:left w:val="none" w:sz="0" w:space="0" w:color="auto"/>
                <w:bottom w:val="none" w:sz="0" w:space="0" w:color="auto"/>
                <w:right w:val="none" w:sz="0" w:space="0" w:color="auto"/>
              </w:divBdr>
            </w:div>
            <w:div w:id="558369223">
              <w:marLeft w:val="0"/>
              <w:marRight w:val="0"/>
              <w:marTop w:val="0"/>
              <w:marBottom w:val="0"/>
              <w:divBdr>
                <w:top w:val="none" w:sz="0" w:space="0" w:color="auto"/>
                <w:left w:val="none" w:sz="0" w:space="0" w:color="auto"/>
                <w:bottom w:val="none" w:sz="0" w:space="0" w:color="auto"/>
                <w:right w:val="none" w:sz="0" w:space="0" w:color="auto"/>
              </w:divBdr>
            </w:div>
            <w:div w:id="120199524">
              <w:marLeft w:val="0"/>
              <w:marRight w:val="0"/>
              <w:marTop w:val="0"/>
              <w:marBottom w:val="0"/>
              <w:divBdr>
                <w:top w:val="none" w:sz="0" w:space="0" w:color="auto"/>
                <w:left w:val="none" w:sz="0" w:space="0" w:color="auto"/>
                <w:bottom w:val="none" w:sz="0" w:space="0" w:color="auto"/>
                <w:right w:val="none" w:sz="0" w:space="0" w:color="auto"/>
              </w:divBdr>
            </w:div>
          </w:divsChild>
        </w:div>
        <w:div w:id="1793282949">
          <w:marLeft w:val="0"/>
          <w:marRight w:val="0"/>
          <w:marTop w:val="0"/>
          <w:marBottom w:val="0"/>
          <w:divBdr>
            <w:top w:val="none" w:sz="0" w:space="0" w:color="auto"/>
            <w:left w:val="none" w:sz="0" w:space="0" w:color="auto"/>
            <w:bottom w:val="none" w:sz="0" w:space="0" w:color="auto"/>
            <w:right w:val="none" w:sz="0" w:space="0" w:color="auto"/>
          </w:divBdr>
        </w:div>
        <w:div w:id="975260890">
          <w:blockQuote w:val="1"/>
          <w:marLeft w:val="0"/>
          <w:marRight w:val="-150"/>
          <w:marTop w:val="312"/>
          <w:marBottom w:val="0"/>
          <w:divBdr>
            <w:top w:val="none" w:sz="0" w:space="0" w:color="auto"/>
            <w:left w:val="none" w:sz="0" w:space="0" w:color="auto"/>
            <w:bottom w:val="none" w:sz="0" w:space="0" w:color="auto"/>
            <w:right w:val="none" w:sz="0" w:space="0" w:color="auto"/>
          </w:divBdr>
          <w:divsChild>
            <w:div w:id="662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1630</Words>
  <Characters>9293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 MEDIA</dc:creator>
  <cp:keywords/>
  <dc:description/>
  <cp:lastModifiedBy>RES MEDIA</cp:lastModifiedBy>
  <cp:revision>5</cp:revision>
  <dcterms:created xsi:type="dcterms:W3CDTF">2020-02-24T16:45:00Z</dcterms:created>
  <dcterms:modified xsi:type="dcterms:W3CDTF">2020-02-25T07:07:00Z</dcterms:modified>
</cp:coreProperties>
</file>