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CB" w:rsidRPr="00AF48CB" w:rsidRDefault="00AF48CB" w:rsidP="00AF48CB">
      <w:pPr>
        <w:pStyle w:val="ConsPlusNormal"/>
        <w:jc w:val="center"/>
        <w:rPr>
          <w:b/>
          <w:bCs/>
          <w:sz w:val="24"/>
          <w:szCs w:val="24"/>
        </w:rPr>
      </w:pPr>
      <w:bookmarkStart w:id="0" w:name="_GoBack"/>
      <w:bookmarkEnd w:id="0"/>
      <w:r>
        <w:rPr>
          <w:b/>
          <w:bCs/>
        </w:rPr>
        <w:t>МИНИСТЕРСТВО РЕГИОНАЛЬНОГО РАЗВ</w:t>
      </w:r>
      <w:r w:rsidRPr="00AF48CB">
        <w:rPr>
          <w:b/>
          <w:bCs/>
          <w:sz w:val="24"/>
          <w:szCs w:val="24"/>
        </w:rPr>
        <w:t>ИТИЯ РОССИЙСКОЙ ФЕДЕРАЦИИ</w:t>
      </w:r>
    </w:p>
    <w:p w:rsidR="00AF48CB" w:rsidRPr="00AF48CB" w:rsidRDefault="00AF48CB" w:rsidP="00AF48CB">
      <w:pPr>
        <w:pStyle w:val="ConsPlusNormal"/>
        <w:jc w:val="center"/>
        <w:outlineLvl w:val="0"/>
        <w:rPr>
          <w:b/>
          <w:bCs/>
          <w:sz w:val="24"/>
          <w:szCs w:val="24"/>
        </w:rPr>
      </w:pPr>
    </w:p>
    <w:p w:rsidR="00AF48CB" w:rsidRPr="00AF48CB" w:rsidRDefault="00AF48CB" w:rsidP="00AF48CB">
      <w:pPr>
        <w:pStyle w:val="ConsPlusNormal"/>
        <w:jc w:val="center"/>
        <w:rPr>
          <w:b/>
          <w:bCs/>
          <w:sz w:val="24"/>
          <w:szCs w:val="24"/>
        </w:rPr>
      </w:pPr>
      <w:r w:rsidRPr="00AF48CB">
        <w:rPr>
          <w:b/>
          <w:bCs/>
          <w:sz w:val="24"/>
          <w:szCs w:val="24"/>
        </w:rPr>
        <w:t>ПИСЬМО</w:t>
      </w:r>
    </w:p>
    <w:p w:rsidR="00AF48CB" w:rsidRPr="00AF48CB" w:rsidRDefault="00AF48CB" w:rsidP="00AF48CB">
      <w:pPr>
        <w:pStyle w:val="ConsPlusNormal"/>
        <w:jc w:val="center"/>
        <w:rPr>
          <w:b/>
          <w:bCs/>
          <w:sz w:val="24"/>
          <w:szCs w:val="24"/>
        </w:rPr>
      </w:pPr>
      <w:r w:rsidRPr="00AF48CB">
        <w:rPr>
          <w:b/>
          <w:bCs/>
          <w:sz w:val="24"/>
          <w:szCs w:val="24"/>
        </w:rPr>
        <w:t>от 1 июня 2012 г. N 13401-ДШ/08</w:t>
      </w:r>
    </w:p>
    <w:p w:rsidR="00AF48CB" w:rsidRPr="00AF48CB" w:rsidRDefault="00AF48CB" w:rsidP="00AF48CB">
      <w:pPr>
        <w:pStyle w:val="ConsPlusNormal"/>
        <w:jc w:val="both"/>
        <w:rPr>
          <w:sz w:val="24"/>
          <w:szCs w:val="24"/>
        </w:rPr>
      </w:pPr>
    </w:p>
    <w:p w:rsidR="00AF48CB" w:rsidRPr="00AF48CB" w:rsidRDefault="00AF48CB" w:rsidP="00AF48CB">
      <w:pPr>
        <w:pStyle w:val="ConsPlusNormal"/>
        <w:ind w:firstLine="540"/>
        <w:jc w:val="both"/>
        <w:rPr>
          <w:sz w:val="24"/>
          <w:szCs w:val="24"/>
        </w:rPr>
      </w:pPr>
      <w:r w:rsidRPr="00AF48CB">
        <w:rPr>
          <w:sz w:val="24"/>
          <w:szCs w:val="24"/>
        </w:rPr>
        <w:t>Министерством регионального развития Российской Федерации рассмотрено обращение и в рамках имеющихся полномочий сообщается следующее.</w:t>
      </w:r>
    </w:p>
    <w:p w:rsidR="00AF48CB" w:rsidRPr="00AF48CB" w:rsidRDefault="00AF48CB" w:rsidP="00AF48CB">
      <w:pPr>
        <w:pStyle w:val="ConsPlusNormal"/>
        <w:ind w:firstLine="540"/>
        <w:jc w:val="both"/>
        <w:rPr>
          <w:sz w:val="24"/>
          <w:szCs w:val="24"/>
        </w:rPr>
      </w:pPr>
      <w:r w:rsidRPr="00AF48CB">
        <w:rPr>
          <w:sz w:val="24"/>
          <w:szCs w:val="24"/>
        </w:rPr>
        <w:t xml:space="preserve">Согласно </w:t>
      </w:r>
      <w:hyperlink r:id="rId4" w:history="1">
        <w:r w:rsidRPr="00AF48CB">
          <w:rPr>
            <w:color w:val="0000FF"/>
            <w:sz w:val="24"/>
            <w:szCs w:val="24"/>
          </w:rPr>
          <w:t>части 4 статьи 4</w:t>
        </w:r>
      </w:hyperlink>
      <w:r w:rsidRPr="00AF48CB">
        <w:rPr>
          <w:sz w:val="24"/>
          <w:szCs w:val="24"/>
        </w:rPr>
        <w:t xml:space="preserve"> Градостроительного кодекса Российской Федерации (далее - Кодекс) отношения, связанные с приобретением, прекращением статуса саморегулируемых организаций, определением их правового положения применяется гражданское законодательство, в том числе Федеральный </w:t>
      </w:r>
      <w:hyperlink r:id="rId5" w:history="1">
        <w:r w:rsidRPr="00AF48CB">
          <w:rPr>
            <w:color w:val="0000FF"/>
            <w:sz w:val="24"/>
            <w:szCs w:val="24"/>
          </w:rPr>
          <w:t>закон</w:t>
        </w:r>
      </w:hyperlink>
      <w:r w:rsidRPr="00AF48CB">
        <w:rPr>
          <w:sz w:val="24"/>
          <w:szCs w:val="24"/>
        </w:rPr>
        <w:t xml:space="preserve"> от 01.12.2007 N 315-ФЗ "О саморегулируемых организациях" (далее - Федеральный закон), если данные отношения не урегулированы данным </w:t>
      </w:r>
      <w:hyperlink r:id="rId6" w:history="1">
        <w:r w:rsidRPr="00AF48CB">
          <w:rPr>
            <w:color w:val="0000FF"/>
            <w:sz w:val="24"/>
            <w:szCs w:val="24"/>
          </w:rPr>
          <w:t>Кодексом</w:t>
        </w:r>
      </w:hyperlink>
      <w:r w:rsidRPr="00AF48CB">
        <w:rPr>
          <w:sz w:val="24"/>
          <w:szCs w:val="24"/>
        </w:rPr>
        <w:t>.</w:t>
      </w:r>
    </w:p>
    <w:p w:rsidR="00AF48CB" w:rsidRPr="00AF48CB" w:rsidRDefault="00AF48CB" w:rsidP="00AF48CB">
      <w:pPr>
        <w:pStyle w:val="ConsPlusNormal"/>
        <w:ind w:firstLine="540"/>
        <w:jc w:val="both"/>
        <w:rPr>
          <w:sz w:val="24"/>
          <w:szCs w:val="24"/>
        </w:rPr>
      </w:pPr>
      <w:r w:rsidRPr="00AF48CB">
        <w:rPr>
          <w:sz w:val="24"/>
          <w:szCs w:val="24"/>
        </w:rPr>
        <w:t xml:space="preserve">В соответствии с </w:t>
      </w:r>
      <w:hyperlink r:id="rId7" w:history="1">
        <w:r w:rsidRPr="00AF48CB">
          <w:rPr>
            <w:color w:val="0000FF"/>
            <w:sz w:val="24"/>
            <w:szCs w:val="24"/>
          </w:rPr>
          <w:t>частью 7 статьи 13</w:t>
        </w:r>
      </w:hyperlink>
      <w:r w:rsidRPr="00AF48CB">
        <w:rPr>
          <w:sz w:val="24"/>
          <w:szCs w:val="24"/>
        </w:rPr>
        <w:t xml:space="preserve"> Федерального закона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F48CB" w:rsidRPr="00AF48CB" w:rsidRDefault="00AF48CB" w:rsidP="00AF48CB">
      <w:pPr>
        <w:pStyle w:val="ConsPlusNormal"/>
        <w:ind w:firstLine="540"/>
        <w:jc w:val="both"/>
        <w:rPr>
          <w:sz w:val="24"/>
          <w:szCs w:val="24"/>
        </w:rPr>
      </w:pPr>
      <w:r w:rsidRPr="00AF48CB">
        <w:rPr>
          <w:sz w:val="24"/>
          <w:szCs w:val="24"/>
        </w:rPr>
        <w:t xml:space="preserve">Доходы саморегулируемой организации от инвестирования средств компенсационного фонда не отнесены Налоговым </w:t>
      </w:r>
      <w:hyperlink r:id="rId8" w:history="1">
        <w:r w:rsidRPr="00AF48CB">
          <w:rPr>
            <w:color w:val="0000FF"/>
            <w:sz w:val="24"/>
            <w:szCs w:val="24"/>
          </w:rPr>
          <w:t>кодексом</w:t>
        </w:r>
      </w:hyperlink>
      <w:r w:rsidRPr="00AF48CB">
        <w:rPr>
          <w:sz w:val="24"/>
          <w:szCs w:val="24"/>
        </w:rPr>
        <w:t xml:space="preserve"> к целевым поступлениям, не учитываемым при определении налоговой базы по налогу на прибыль организаций.</w:t>
      </w:r>
    </w:p>
    <w:p w:rsidR="00AF48CB" w:rsidRPr="00AF48CB" w:rsidRDefault="00AF48CB" w:rsidP="00AF48CB">
      <w:pPr>
        <w:pStyle w:val="ConsPlusNormal"/>
        <w:ind w:firstLine="540"/>
        <w:jc w:val="both"/>
        <w:rPr>
          <w:sz w:val="24"/>
          <w:szCs w:val="24"/>
        </w:rPr>
      </w:pPr>
      <w:r w:rsidRPr="00AF48CB">
        <w:rPr>
          <w:sz w:val="24"/>
          <w:szCs w:val="24"/>
        </w:rPr>
        <w:t>Налоги на доходы, полученные от размещения средств компенсационного фонда, могут рассматриваться как расходы, связанные с размещением средств компенсационного фонда саморегулируемой организации в целях его сохранения и увеличения его размера. Следовательно, на пополнение компенсационного фонда должны направляться доходы, полученные от размещения средств компенсационного фонда, за вычетом сумм подлежащих уплате налогов. Таким образом, налоги на доходы, полученные от размещения средств компенсационного фонда, уплачиваются за счет указанных доходов.</w:t>
      </w:r>
    </w:p>
    <w:p w:rsidR="00AF48CB" w:rsidRPr="00AF48CB" w:rsidRDefault="00AF48CB" w:rsidP="00AF48CB">
      <w:pPr>
        <w:pStyle w:val="ConsPlusNormal"/>
        <w:ind w:firstLine="540"/>
        <w:jc w:val="both"/>
        <w:rPr>
          <w:sz w:val="24"/>
          <w:szCs w:val="24"/>
        </w:rPr>
      </w:pPr>
      <w:r w:rsidRPr="00AF48CB">
        <w:rPr>
          <w:sz w:val="24"/>
          <w:szCs w:val="24"/>
        </w:rPr>
        <w:t xml:space="preserve">По второму и третьему вопросу обращения сообщаем, что в соответствии с </w:t>
      </w:r>
      <w:hyperlink r:id="rId9" w:history="1">
        <w:r w:rsidRPr="00AF48CB">
          <w:rPr>
            <w:color w:val="0000FF"/>
            <w:sz w:val="24"/>
            <w:szCs w:val="24"/>
          </w:rPr>
          <w:t>частью 5 статьи 13</w:t>
        </w:r>
      </w:hyperlink>
      <w:r w:rsidRPr="00AF48CB">
        <w:rPr>
          <w:sz w:val="24"/>
          <w:szCs w:val="24"/>
        </w:rPr>
        <w:t xml:space="preserve"> Федерального закона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если иное не установлено федеральным законом.</w:t>
      </w:r>
    </w:p>
    <w:p w:rsidR="00AF48CB" w:rsidRPr="00AF48CB" w:rsidRDefault="00737020" w:rsidP="00AF48CB">
      <w:pPr>
        <w:pStyle w:val="ConsPlusNormal"/>
        <w:ind w:firstLine="540"/>
        <w:jc w:val="both"/>
        <w:rPr>
          <w:sz w:val="24"/>
          <w:szCs w:val="24"/>
        </w:rPr>
      </w:pPr>
      <w:hyperlink r:id="rId10" w:history="1">
        <w:r w:rsidR="00AF48CB" w:rsidRPr="00AF48CB">
          <w:rPr>
            <w:color w:val="0000FF"/>
            <w:sz w:val="24"/>
            <w:szCs w:val="24"/>
          </w:rPr>
          <w:t>Частью 4 статьи 55.16</w:t>
        </w:r>
      </w:hyperlink>
      <w:r w:rsidR="00AF48CB" w:rsidRPr="00AF48CB">
        <w:rPr>
          <w:sz w:val="24"/>
          <w:szCs w:val="24"/>
        </w:rPr>
        <w:t xml:space="preserve"> Кодекса определено, что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Иные способы размещения средств компенсационного фонда саморегулируемой организации </w:t>
      </w:r>
      <w:hyperlink r:id="rId11" w:history="1">
        <w:r w:rsidR="00AF48CB" w:rsidRPr="00AF48CB">
          <w:rPr>
            <w:color w:val="0000FF"/>
            <w:sz w:val="24"/>
            <w:szCs w:val="24"/>
          </w:rPr>
          <w:t>Кодексом</w:t>
        </w:r>
      </w:hyperlink>
      <w:r w:rsidR="00AF48CB" w:rsidRPr="00AF48CB">
        <w:rPr>
          <w:sz w:val="24"/>
          <w:szCs w:val="24"/>
        </w:rPr>
        <w:t xml:space="preserve"> не предусмотрены.</w:t>
      </w:r>
    </w:p>
    <w:p w:rsidR="00AF48CB" w:rsidRPr="00AF48CB" w:rsidRDefault="00AF48CB" w:rsidP="00AF48CB">
      <w:pPr>
        <w:pStyle w:val="ConsPlusNormal"/>
        <w:ind w:firstLine="540"/>
        <w:jc w:val="both"/>
        <w:rPr>
          <w:sz w:val="24"/>
          <w:szCs w:val="24"/>
        </w:rPr>
      </w:pPr>
      <w:r w:rsidRPr="00AF48CB">
        <w:rPr>
          <w:sz w:val="24"/>
          <w:szCs w:val="24"/>
        </w:rPr>
        <w:t xml:space="preserve">С учетом требований </w:t>
      </w:r>
      <w:hyperlink r:id="rId12" w:history="1">
        <w:r w:rsidRPr="00AF48CB">
          <w:rPr>
            <w:color w:val="0000FF"/>
            <w:sz w:val="24"/>
            <w:szCs w:val="24"/>
          </w:rPr>
          <w:t>части 10 статьи 13</w:t>
        </w:r>
      </w:hyperlink>
      <w:r w:rsidRPr="00AF48CB">
        <w:rPr>
          <w:sz w:val="24"/>
          <w:szCs w:val="24"/>
        </w:rPr>
        <w:t xml:space="preserve"> Федерального закона в государственные ценные бумаги Российской Федерации должно быть инвестировано не менее десяти процентов средств компенсационного фонда.</w:t>
      </w:r>
    </w:p>
    <w:p w:rsidR="00AF48CB" w:rsidRPr="00AF48CB" w:rsidRDefault="00AF48CB" w:rsidP="00AF48CB">
      <w:pPr>
        <w:pStyle w:val="ConsPlusNormal"/>
        <w:ind w:firstLine="540"/>
        <w:jc w:val="both"/>
        <w:rPr>
          <w:sz w:val="24"/>
          <w:szCs w:val="24"/>
        </w:rPr>
      </w:pPr>
      <w:r w:rsidRPr="00AF48CB">
        <w:rPr>
          <w:sz w:val="24"/>
          <w:szCs w:val="24"/>
        </w:rPr>
        <w:t xml:space="preserve">Таким образом, саморегулируемые организации обязаны размещать средства компенсационного фонда через управляющие компании в порядке, установленном в </w:t>
      </w:r>
      <w:hyperlink r:id="rId13" w:history="1">
        <w:r w:rsidRPr="00AF48CB">
          <w:rPr>
            <w:color w:val="0000FF"/>
            <w:sz w:val="24"/>
            <w:szCs w:val="24"/>
          </w:rPr>
          <w:t>статье 13</w:t>
        </w:r>
      </w:hyperlink>
      <w:r w:rsidRPr="00AF48CB">
        <w:rPr>
          <w:sz w:val="24"/>
          <w:szCs w:val="24"/>
        </w:rPr>
        <w:t xml:space="preserve"> Федерального закона. Средства компенсационного фонда саморегулируемой организации не могут быть размещены в иные ценные бумаги, кроме как в депозитные сертификаты в российских кредитных организациях.</w:t>
      </w:r>
    </w:p>
    <w:p w:rsidR="00AF48CB" w:rsidRPr="00AF48CB" w:rsidRDefault="00AF48CB" w:rsidP="00AF48CB">
      <w:pPr>
        <w:pStyle w:val="ConsPlusNormal"/>
        <w:jc w:val="both"/>
        <w:rPr>
          <w:sz w:val="24"/>
          <w:szCs w:val="24"/>
        </w:rPr>
      </w:pPr>
    </w:p>
    <w:p w:rsidR="00AF48CB" w:rsidRPr="00AF48CB" w:rsidRDefault="00AF48CB" w:rsidP="00AF48CB">
      <w:pPr>
        <w:pStyle w:val="ConsPlusNormal"/>
        <w:jc w:val="right"/>
        <w:rPr>
          <w:sz w:val="24"/>
          <w:szCs w:val="24"/>
        </w:rPr>
      </w:pPr>
      <w:r w:rsidRPr="00AF48CB">
        <w:rPr>
          <w:sz w:val="24"/>
          <w:szCs w:val="24"/>
        </w:rPr>
        <w:t>Директор Департамента</w:t>
      </w:r>
    </w:p>
    <w:p w:rsidR="00AF48CB" w:rsidRPr="00AF48CB" w:rsidRDefault="00AF48CB" w:rsidP="00AF48CB">
      <w:pPr>
        <w:pStyle w:val="ConsPlusNormal"/>
        <w:jc w:val="right"/>
        <w:rPr>
          <w:sz w:val="24"/>
          <w:szCs w:val="24"/>
        </w:rPr>
      </w:pPr>
      <w:r w:rsidRPr="00AF48CB">
        <w:rPr>
          <w:sz w:val="24"/>
          <w:szCs w:val="24"/>
        </w:rPr>
        <w:t>архитектуры, строительства</w:t>
      </w:r>
    </w:p>
    <w:p w:rsidR="00AF48CB" w:rsidRPr="00AF48CB" w:rsidRDefault="00AF48CB" w:rsidP="00AF48CB">
      <w:pPr>
        <w:pStyle w:val="ConsPlusNormal"/>
        <w:jc w:val="right"/>
        <w:rPr>
          <w:sz w:val="24"/>
          <w:szCs w:val="24"/>
        </w:rPr>
      </w:pPr>
      <w:r w:rsidRPr="00AF48CB">
        <w:rPr>
          <w:sz w:val="24"/>
          <w:szCs w:val="24"/>
        </w:rPr>
        <w:t>и градостроительной политики</w:t>
      </w:r>
    </w:p>
    <w:p w:rsidR="00AF48CB" w:rsidRPr="00AF48CB" w:rsidRDefault="00AF48CB" w:rsidP="00AF48CB">
      <w:pPr>
        <w:pStyle w:val="ConsPlusNormal"/>
        <w:jc w:val="right"/>
        <w:rPr>
          <w:sz w:val="24"/>
          <w:szCs w:val="24"/>
        </w:rPr>
      </w:pPr>
      <w:r w:rsidRPr="00AF48CB">
        <w:rPr>
          <w:sz w:val="24"/>
          <w:szCs w:val="24"/>
        </w:rPr>
        <w:t>Д.В.ШАПОВАЛ</w:t>
      </w:r>
    </w:p>
    <w:p w:rsidR="00AF48CB" w:rsidRDefault="00AF48CB" w:rsidP="00AF48CB">
      <w:pPr>
        <w:pStyle w:val="ConsPlusNormal"/>
        <w:jc w:val="both"/>
      </w:pPr>
    </w:p>
    <w:p w:rsidR="00FC3221" w:rsidRDefault="00FC3221"/>
    <w:sectPr w:rsidR="00FC3221" w:rsidSect="00966B7E">
      <w:pgSz w:w="11905" w:h="16838"/>
      <w:pgMar w:top="1135" w:right="850" w:bottom="1135"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0A"/>
    <w:rsid w:val="00737020"/>
    <w:rsid w:val="00AF48CB"/>
    <w:rsid w:val="00EB720A"/>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A04B3-51D6-4791-A72C-2FB261A5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8CB"/>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7370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7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C0C0F6B0C3E33D4A5FB0A6ED7F346E908BBD5D45921A401A5587C3609TEI" TargetMode="External"/><Relationship Id="rId13" Type="http://schemas.openxmlformats.org/officeDocument/2006/relationships/hyperlink" Target="consultantplus://offline/ref=C70C0C0F6B0C3E33D4A5FB0A6ED7F346E908BAD0D05321A401A5587C369EC5A4BAC619165B3C510203TEI" TargetMode="External"/><Relationship Id="rId3" Type="http://schemas.openxmlformats.org/officeDocument/2006/relationships/webSettings" Target="webSettings.xml"/><Relationship Id="rId7" Type="http://schemas.openxmlformats.org/officeDocument/2006/relationships/hyperlink" Target="consultantplus://offline/ref=C70C0C0F6B0C3E33D4A5FB0A6ED7F346E908BAD0D05321A401A5587C369EC5A4BAC619165B3C510303TFI" TargetMode="External"/><Relationship Id="rId12" Type="http://schemas.openxmlformats.org/officeDocument/2006/relationships/hyperlink" Target="consultantplus://offline/ref=C70C0C0F6B0C3E33D4A5FB0A6ED7F346E908BAD0D05321A401A5587C369EC5A4BAC619165B3C510303T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0C0C0F6B0C3E33D4A5FB0A6ED7F346E908BBD8D45321A401A5587C3609TEI" TargetMode="External"/><Relationship Id="rId11" Type="http://schemas.openxmlformats.org/officeDocument/2006/relationships/hyperlink" Target="consultantplus://offline/ref=C70C0C0F6B0C3E33D4A5FB0A6ED7F346E908BBD8D45321A401A5587C3609TEI" TargetMode="External"/><Relationship Id="rId5" Type="http://schemas.openxmlformats.org/officeDocument/2006/relationships/hyperlink" Target="consultantplus://offline/ref=C70C0C0F6B0C3E33D4A5FB0A6ED7F346E908BAD0D05321A401A5587C3609TEI" TargetMode="External"/><Relationship Id="rId15" Type="http://schemas.openxmlformats.org/officeDocument/2006/relationships/theme" Target="theme/theme1.xml"/><Relationship Id="rId10" Type="http://schemas.openxmlformats.org/officeDocument/2006/relationships/hyperlink" Target="consultantplus://offline/ref=C70C0C0F6B0C3E33D4A5FB0A6ED7F346E908BBD8D45321A401A5587C369EC5A4BAC619165B3D540503TBI" TargetMode="External"/><Relationship Id="rId4" Type="http://schemas.openxmlformats.org/officeDocument/2006/relationships/hyperlink" Target="consultantplus://offline/ref=C70C0C0F6B0C3E33D4A5FB0A6ED7F346E908BBD8D45321A401A5587C369EC5A4BAC619145303T4I" TargetMode="External"/><Relationship Id="rId9" Type="http://schemas.openxmlformats.org/officeDocument/2006/relationships/hyperlink" Target="consultantplus://offline/ref=C70C0C0F6B0C3E33D4A5FB0A6ED7F346E908BAD0D05321A401A5587C369EC5A4BAC619165B3C530003T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Кольцова Елена Витальевна</cp:lastModifiedBy>
  <cp:revision>2</cp:revision>
  <cp:lastPrinted>2016-08-26T07:48:00Z</cp:lastPrinted>
  <dcterms:created xsi:type="dcterms:W3CDTF">2016-08-26T08:09:00Z</dcterms:created>
  <dcterms:modified xsi:type="dcterms:W3CDTF">2016-08-26T08:09:00Z</dcterms:modified>
</cp:coreProperties>
</file>