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962" w:firstLine="540"/>
        <w:jc w:val="center"/>
        <w:rPr>
          <w:rFonts w:ascii="Times New Roman" w:cs="Times New Roman" w:eastAsia="Times New Roman" w:hAnsi="Times New Roman"/>
          <w:b w:val="1"/>
          <w:sz w:val="26"/>
          <w:szCs w:val="26"/>
        </w:rPr>
      </w:pPr>
      <w:bookmarkStart w:colFirst="0" w:colLast="0" w:name="_gjdgxs" w:id="0"/>
      <w:bookmarkEnd w:id="0"/>
      <w:r w:rsidDel="00000000" w:rsidR="00000000" w:rsidRPr="00000000">
        <w:rPr>
          <w:rFonts w:ascii="Times New Roman" w:cs="Times New Roman" w:eastAsia="Times New Roman" w:hAnsi="Times New Roman"/>
          <w:b w:val="1"/>
          <w:sz w:val="26"/>
          <w:szCs w:val="26"/>
          <w:rtl w:val="0"/>
        </w:rPr>
        <w:t xml:space="preserve">Перечень документов, введенных в информационный банк Консультант Плюс</w:t>
      </w:r>
    </w:p>
    <w:p w:rsidR="00000000" w:rsidDel="00000000" w:rsidP="00000000" w:rsidRDefault="00000000" w:rsidRPr="00000000" w14:paraId="00000002">
      <w:pPr>
        <w:spacing w:after="0" w:line="240" w:lineRule="auto"/>
        <w:ind w:firstLine="54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за период с 23 марта по 25 апреля 2022 г.</w:t>
      </w:r>
    </w:p>
    <w:p w:rsidR="00000000" w:rsidDel="00000000" w:rsidP="00000000" w:rsidRDefault="00000000" w:rsidRPr="00000000" w14:paraId="00000003">
      <w:pPr>
        <w:spacing w:after="0" w:line="240" w:lineRule="auto"/>
        <w:ind w:firstLine="54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spacing w:after="0" w:line="240" w:lineRule="auto"/>
        <w:ind w:firstLine="540"/>
        <w:jc w:val="center"/>
        <w:rPr>
          <w:rFonts w:ascii="Times New Roman" w:cs="Times New Roman" w:eastAsia="Times New Roman" w:hAnsi="Times New Roman"/>
          <w:b w:val="1"/>
          <w:sz w:val="26"/>
          <w:szCs w:val="26"/>
        </w:rPr>
      </w:pPr>
      <w:r w:rsidDel="00000000" w:rsidR="00000000" w:rsidRPr="00000000">
        <w:rPr>
          <w:rtl w:val="0"/>
        </w:rPr>
      </w:r>
    </w:p>
    <w:tbl>
      <w:tblPr>
        <w:tblStyle w:val="Table1"/>
        <w:tblW w:w="153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7"/>
        <w:gridCol w:w="4907"/>
        <w:gridCol w:w="2835"/>
        <w:gridCol w:w="6945"/>
        <w:tblGridChange w:id="0">
          <w:tblGrid>
            <w:gridCol w:w="617"/>
            <w:gridCol w:w="4907"/>
            <w:gridCol w:w="2835"/>
            <w:gridCol w:w="6945"/>
          </w:tblGrid>
        </w:tblGridChange>
      </w:tblGrid>
      <w:tr>
        <w:trPr>
          <w:cantSplit w:val="0"/>
          <w:tblHeader w:val="0"/>
        </w:trPr>
        <w:tc>
          <w:tcPr/>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п/п</w:t>
            </w:r>
          </w:p>
        </w:tc>
        <w:tc>
          <w:tcPr/>
          <w:p w:rsidR="00000000" w:rsidDel="00000000" w:rsidP="00000000" w:rsidRDefault="00000000" w:rsidRPr="00000000" w14:paraId="00000007">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Наименование</w:t>
            </w:r>
          </w:p>
          <w:p w:rsidR="00000000" w:rsidDel="00000000" w:rsidP="00000000" w:rsidRDefault="00000000" w:rsidRPr="00000000" w14:paraId="00000008">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документа</w:t>
            </w:r>
          </w:p>
        </w:tc>
        <w:tc>
          <w:tcPr/>
          <w:p w:rsidR="00000000" w:rsidDel="00000000" w:rsidP="00000000" w:rsidRDefault="00000000" w:rsidRPr="00000000" w14:paraId="0000000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Разработчик</w:t>
            </w:r>
          </w:p>
        </w:tc>
        <w:tc>
          <w:tcPr/>
          <w:p w:rsidR="00000000" w:rsidDel="00000000" w:rsidP="00000000" w:rsidRDefault="00000000" w:rsidRPr="00000000" w14:paraId="0000000A">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Примечание</w:t>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p w:rsidR="00000000" w:rsidDel="00000000" w:rsidP="00000000" w:rsidRDefault="00000000" w:rsidRPr="00000000" w14:paraId="0000000C">
            <w:pPr>
              <w:rPr>
                <w:rFonts w:ascii="Times New Roman" w:cs="Times New Roman" w:eastAsia="Times New Roman" w:hAnsi="Times New Roman"/>
                <w:sz w:val="26"/>
                <w:szCs w:val="26"/>
              </w:rPr>
            </w:pPr>
            <w:hyperlink r:id="rId6">
              <w:r w:rsidDel="00000000" w:rsidR="00000000" w:rsidRPr="00000000">
                <w:rPr>
                  <w:rFonts w:ascii="Times New Roman" w:cs="Times New Roman" w:eastAsia="Times New Roman" w:hAnsi="Times New Roman"/>
                  <w:color w:val="0000ff"/>
                  <w:sz w:val="26"/>
                  <w:szCs w:val="26"/>
                  <w:highlight w:val="white"/>
                  <w:u w:val="single"/>
                  <w:rtl w:val="0"/>
                </w:rPr>
                <w:t xml:space="preserve">Сергей Собянин утвердил пакет антикризисных мер для застройщиков и арендаторов городского имущества" (информация с официального сайта Мэра Москвы от 22.03.2022)</w:t>
              </w:r>
            </w:hyperlink>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0F">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Мэрия Москвы</w:t>
            </w:r>
          </w:p>
        </w:tc>
        <w:tc>
          <w:tcPr/>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 Москве разработаны дополнительные меры поддержки застройщиков, предприятий торговли и сферы услуг, организаций малого и среднего бизнеса и других арендаторов городской недвижимости.</w:t>
            </w:r>
          </w:p>
          <w:p w:rsidR="00000000" w:rsidDel="00000000" w:rsidP="00000000" w:rsidRDefault="00000000" w:rsidRPr="00000000" w14:paraId="0000001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 частности:</w:t>
            </w:r>
          </w:p>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устанавливается мораторий на повышение в 2022 году ставок арендной платы за земельные участки и объекты нежилого фонда, находящиеся в собственности города;</w:t>
            </w:r>
          </w:p>
          <w:p w:rsidR="00000000" w:rsidDel="00000000" w:rsidP="00000000" w:rsidRDefault="00000000" w:rsidRPr="00000000" w14:paraId="0000001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арендаторы объектов нежилого фонда, находящихся в собственности Москвы, получат отсрочку до 31 декабря 2022 года по уплате арендных платежей за второй квартал этого года;</w:t>
            </w:r>
          </w:p>
          <w:p w:rsidR="00000000" w:rsidDel="00000000" w:rsidP="00000000" w:rsidRDefault="00000000" w:rsidRPr="00000000" w14:paraId="0000001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арендаторы земельных участков, предоставленных для строительства, получат беспроцентную отсрочку арендных платежей за первый год срока аренды земельного участка в части уплаты арендных платежей за второй квартал 2022 года сроком на шесть месяцев. Собственники земельных участков, меняющие вид разрешенного использования для целей строительства, получат аналогичную беспроцентную отсрочку за второй квартал этого года;</w:t>
            </w:r>
          </w:p>
          <w:p w:rsidR="00000000" w:rsidDel="00000000" w:rsidP="00000000" w:rsidRDefault="00000000" w:rsidRPr="00000000" w14:paraId="0000001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арендная плата за земельные участки, оформляемые для проектирования и строительства (реконструкции) объектов промышленно-производственного назначения, устанавливается в размере одного рубля в год;</w:t>
            </w:r>
          </w:p>
          <w:p w:rsidR="00000000" w:rsidDel="00000000" w:rsidP="00000000" w:rsidRDefault="00000000" w:rsidRPr="00000000" w14:paraId="0000001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ставка платы при предоставлении рассрочки за земельные участки, оформляемые в аренду для строительства, в 2022 году снижается с 23 (текущая ключевая ставка Банка России составляет плюс три процента) до 9,5 процента. Для платежей за изменение вида разрешенного использования земельных участков, находящихся в частной собственности, ставка снижается с 20 до 9,5 процента;</w:t>
            </w:r>
          </w:p>
          <w:p w:rsidR="00000000" w:rsidDel="00000000" w:rsidP="00000000" w:rsidRDefault="00000000" w:rsidRPr="00000000" w14:paraId="0000001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отменяется требование о предоставлении обеспечительных платежей для добросовестных арендаторов объектов городского нежилого фонда;</w:t>
            </w:r>
          </w:p>
          <w:p w:rsidR="00000000" w:rsidDel="00000000" w:rsidP="00000000" w:rsidRDefault="00000000" w:rsidRPr="00000000" w14:paraId="0000001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установлена возможность продления на шесть месяцев сроков исполнения обязательств инвестора (за исключением создания мест приложения труда) без применения штрафных санкций.</w:t>
            </w:r>
          </w:p>
        </w:tc>
      </w:tr>
      <w:tr>
        <w:trPr>
          <w:cantSplit w:val="0"/>
          <w:tblHeader w:val="0"/>
        </w:trPr>
        <w:tc>
          <w:tcPr/>
          <w:p w:rsidR="00000000" w:rsidDel="00000000" w:rsidP="00000000" w:rsidRDefault="00000000" w:rsidRPr="00000000" w14:paraId="0000001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p w:rsidR="00000000" w:rsidDel="00000000" w:rsidP="00000000" w:rsidRDefault="00000000" w:rsidRPr="00000000" w14:paraId="0000001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hyperlink r:id="rId7">
              <w:r w:rsidDel="00000000" w:rsidR="00000000" w:rsidRPr="00000000">
                <w:rPr>
                  <w:rFonts w:ascii="Times New Roman" w:cs="Times New Roman" w:eastAsia="Times New Roman" w:hAnsi="Times New Roman"/>
                  <w:color w:val="0000ff"/>
                  <w:sz w:val="26"/>
                  <w:szCs w:val="26"/>
                  <w:u w:val="single"/>
                  <w:rtl w:val="0"/>
                </w:rPr>
                <w:t xml:space="preserve">Проект Приказа Минстроя России "Об утверждении требований энергетической эффективности зданий, строений, сооружений и Правил определения класса энергетической эффективности многоквартирных домов".</w:t>
              </w:r>
            </w:hyperlink>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1E">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Минстрой России</w:t>
            </w:r>
          </w:p>
        </w:tc>
        <w:tc>
          <w:tcPr/>
          <w:p w:rsidR="00000000" w:rsidDel="00000000" w:rsidP="00000000" w:rsidRDefault="00000000" w:rsidRPr="00000000" w14:paraId="0000001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Подготовлен проект новых требований энергетической эффективности зданий, строений, сооружений и порядка определения класса энергетической эффективности многоквартирных домов.</w:t>
            </w:r>
          </w:p>
          <w:p w:rsidR="00000000" w:rsidDel="00000000" w:rsidP="00000000" w:rsidRDefault="00000000" w:rsidRPr="00000000" w14:paraId="0000002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Проектом, в частности, предусматривается введение определенных запретов, направленных на повышение энергетической эффективности. В частности, с 1 сентября 2022 г. не допускается строительство новых многоквартирных домов ниже класса энергетической эффективности "Е" (пониженный), а с 1 сентября 2027 г. - ниже класса энергетической эффективности "В" (высокий).</w:t>
            </w:r>
          </w:p>
          <w:p w:rsidR="00000000" w:rsidDel="00000000" w:rsidP="00000000" w:rsidRDefault="00000000" w:rsidRPr="00000000" w14:paraId="0000002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Предлагается признать утратившими силу приказы Минстроя России, регулирующие аналогичные правоотношения.</w:t>
            </w:r>
          </w:p>
          <w:tbl>
            <w:tblPr>
              <w:tblStyle w:val="Table2"/>
              <w:tblW w:w="6729.0" w:type="dxa"/>
              <w:jc w:val="left"/>
              <w:tblLayout w:type="fixed"/>
              <w:tblLook w:val="0400"/>
            </w:tblPr>
            <w:tblGrid>
              <w:gridCol w:w="350"/>
              <w:gridCol w:w="6379"/>
              <w:tblGridChange w:id="0">
                <w:tblGrid>
                  <w:gridCol w:w="350"/>
                  <w:gridCol w:w="6379"/>
                </w:tblGrid>
              </w:tblGridChange>
            </w:tblGrid>
            <w:tr>
              <w:trPr>
                <w:cantSplit w:val="0"/>
                <w:tblHeader w:val="0"/>
              </w:trPr>
              <w:tc>
                <w:tcPr>
                  <w:tcMar>
                    <w:top w:w="0.0" w:type="dxa"/>
                    <w:left w:w="180.0" w:type="dxa"/>
                    <w:bottom w:w="0.0" w:type="dxa"/>
                    <w:right w:w="150.0" w:type="dxa"/>
                  </w:tcMar>
                </w:tcPr>
                <w:p w:rsidR="00000000" w:rsidDel="00000000" w:rsidP="00000000" w:rsidRDefault="00000000" w:rsidRPr="00000000" w14:paraId="00000022">
                  <w:pPr>
                    <w:rPr>
                      <w:rFonts w:ascii="Times New Roman" w:cs="Times New Roman" w:eastAsia="Times New Roman" w:hAnsi="Times New Roman"/>
                      <w:sz w:val="26"/>
                      <w:szCs w:val="26"/>
                    </w:rPr>
                  </w:pP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23">
                  <w:pP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24">
            <w:pPr>
              <w:jc w:val="both"/>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p w:rsidR="00000000" w:rsidDel="00000000" w:rsidP="00000000" w:rsidRDefault="00000000" w:rsidRPr="00000000" w14:paraId="00000026">
            <w:pPr>
              <w:rPr>
                <w:rFonts w:ascii="Times New Roman" w:cs="Times New Roman" w:eastAsia="Times New Roman" w:hAnsi="Times New Roman"/>
                <w:sz w:val="26"/>
                <w:szCs w:val="26"/>
              </w:rPr>
            </w:pPr>
            <w:hyperlink r:id="rId8">
              <w:r w:rsidDel="00000000" w:rsidR="00000000" w:rsidRPr="00000000">
                <w:rPr>
                  <w:rFonts w:ascii="Times New Roman" w:cs="Times New Roman" w:eastAsia="Times New Roman" w:hAnsi="Times New Roman"/>
                  <w:color w:val="0000ff"/>
                  <w:sz w:val="26"/>
                  <w:szCs w:val="26"/>
                  <w:u w:val="single"/>
                  <w:rtl w:val="0"/>
                </w:rPr>
                <w:t xml:space="preserve">Постановление Правительства РФ от 21.03.2022 N 417"О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hyperlink>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02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Правительство РФ</w:t>
            </w:r>
          </w:p>
        </w:tc>
        <w:tc>
          <w:tcPr/>
          <w:p w:rsidR="00000000" w:rsidDel="00000000" w:rsidP="00000000" w:rsidRDefault="00000000" w:rsidRPr="00000000" w14:paraId="0000002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Правительство приняло решение поддержать участников госзакупок в условиях внешних ограничений.</w:t>
            </w:r>
          </w:p>
          <w:p w:rsidR="00000000" w:rsidDel="00000000" w:rsidP="00000000" w:rsidRDefault="00000000" w:rsidRPr="00000000" w14:paraId="0000002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Согласно постановлению, подписанному главой кабмина Михаилом Мишустиным, исполнителей и подрядчиков по госконтрактам, не исполнивших свои обязательства, не будут включать в реестр недобросовестных поставщиков, если исполнение контракта оказалось невозможным из-за форс-мажора, связанного с введением санкций и других ограничений иностранными государствами.</w:t>
            </w:r>
          </w:p>
          <w:p w:rsidR="00000000" w:rsidDel="00000000" w:rsidP="00000000" w:rsidRDefault="00000000" w:rsidRPr="00000000" w14:paraId="0000002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Ещё одна новация касается представителей малого и среднего бизнеса. Максимальный срок оплаты услуг таких предпринимателей по заключённым с госзаказчиками договорам сокращён с 15 до 7 рабочих дней, чтобы бизнес получал средства как можно скорее.</w:t>
            </w:r>
          </w:p>
        </w:tc>
      </w:tr>
      <w:tr>
        <w:trPr>
          <w:cantSplit w:val="0"/>
          <w:tblHeader w:val="0"/>
        </w:trPr>
        <w:tc>
          <w:tcPr/>
          <w:p w:rsidR="00000000" w:rsidDel="00000000" w:rsidP="00000000" w:rsidRDefault="00000000" w:rsidRPr="00000000" w14:paraId="0000002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p w:rsidR="00000000" w:rsidDel="00000000" w:rsidP="00000000" w:rsidRDefault="00000000" w:rsidRPr="00000000" w14:paraId="0000002E">
            <w:pPr>
              <w:rPr/>
            </w:pPr>
            <w:hyperlink r:id="rId9">
              <w:r w:rsidDel="00000000" w:rsidR="00000000" w:rsidRPr="00000000">
                <w:rPr>
                  <w:rFonts w:ascii="Times New Roman" w:cs="Times New Roman" w:eastAsia="Times New Roman" w:hAnsi="Times New Roman"/>
                  <w:color w:val="0000ff"/>
                  <w:sz w:val="26"/>
                  <w:szCs w:val="26"/>
                  <w:u w:val="single"/>
                  <w:rtl w:val="0"/>
                </w:rPr>
                <w:t xml:space="preserve">Приказ АНО НАРК от 21.03.2022             N 33/22-ПР"Об утверждении и исключении наименований квалификаций и требований к квалификациям в области инженерных изысканий, градостроительства, архитектурно-строительного проектирования"</w:t>
              </w:r>
            </w:hyperlink>
            <w:r w:rsidDel="00000000" w:rsidR="00000000" w:rsidRPr="00000000">
              <w:rPr>
                <w:rtl w:val="0"/>
              </w:rPr>
            </w:r>
          </w:p>
        </w:tc>
        <w:tc>
          <w:tcPr/>
          <w:p w:rsidR="00000000" w:rsidDel="00000000" w:rsidP="00000000" w:rsidRDefault="00000000" w:rsidRPr="00000000" w14:paraId="0000002F">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АНО НАРК</w:t>
            </w:r>
          </w:p>
        </w:tc>
        <w:tc>
          <w:tcPr/>
          <w:p w:rsidR="00000000" w:rsidDel="00000000" w:rsidP="00000000" w:rsidRDefault="00000000" w:rsidRPr="00000000" w14:paraId="0000003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АНО НАРК утверждены наименования квалификаций и требования к квалификациям, подготовленные Советом по профессиональным квалификациям в области инженерных изысканий, градостроительства, архитектурно-строительного проектирования.</w:t>
            </w:r>
          </w:p>
          <w:p w:rsidR="00000000" w:rsidDel="00000000" w:rsidP="00000000" w:rsidRDefault="00000000" w:rsidRPr="00000000" w14:paraId="0000003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Предусмотрены, в частности: наименование и реквизиты профессионального стандарта, на соответствие которому проводится независимая оценка квалификации; уровень (подуровень) квалификации, в соответствии с профессиональным стандартом; перечень документов, необходимых для прохождения профессионального экзамена по соответствующей квалификации; срок действия свидетельства о квалификации.</w:t>
            </w:r>
          </w:p>
          <w:p w:rsidR="00000000" w:rsidDel="00000000" w:rsidP="00000000" w:rsidRDefault="00000000" w:rsidRPr="00000000" w14:paraId="0000003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Соответствующие сведения размещены на сайте https://nark.ru.</w:t>
            </w:r>
          </w:p>
          <w:p w:rsidR="00000000" w:rsidDel="00000000" w:rsidP="00000000" w:rsidRDefault="00000000" w:rsidRPr="00000000" w14:paraId="0000003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Приказ вступает в силу с даты подписания и действует до 1 марта 2028 года.</w:t>
            </w:r>
          </w:p>
        </w:tc>
      </w:tr>
      <w:tr>
        <w:trPr>
          <w:cantSplit w:val="0"/>
          <w:tblHeader w:val="0"/>
        </w:trPr>
        <w:tc>
          <w:tcPr/>
          <w:p w:rsidR="00000000" w:rsidDel="00000000" w:rsidP="00000000" w:rsidRDefault="00000000" w:rsidRPr="00000000" w14:paraId="0000003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tc>
        <w:tc>
          <w:tcPr/>
          <w:p w:rsidR="00000000" w:rsidDel="00000000" w:rsidP="00000000" w:rsidRDefault="00000000" w:rsidRPr="00000000" w14:paraId="00000035">
            <w:pPr>
              <w:rPr>
                <w:rFonts w:ascii="Times New Roman" w:cs="Times New Roman" w:eastAsia="Times New Roman" w:hAnsi="Times New Roman"/>
                <w:sz w:val="26"/>
                <w:szCs w:val="26"/>
              </w:rPr>
            </w:pPr>
            <w:hyperlink r:id="rId10">
              <w:r w:rsidDel="00000000" w:rsidR="00000000" w:rsidRPr="00000000">
                <w:rPr>
                  <w:rFonts w:ascii="Times New Roman" w:cs="Times New Roman" w:eastAsia="Times New Roman" w:hAnsi="Times New Roman"/>
                  <w:color w:val="0000ff"/>
                  <w:sz w:val="26"/>
                  <w:szCs w:val="26"/>
                  <w:u w:val="single"/>
                  <w:rtl w:val="0"/>
                </w:rPr>
                <w:t xml:space="preserve">Письмо Минстроя России от 18.03.2022   N 11066-ТБ/02 «О контроле саморегулируемой организацией за деятельностью своих членов».</w:t>
              </w:r>
            </w:hyperlink>
            <w:r w:rsidDel="00000000" w:rsidR="00000000" w:rsidRPr="00000000">
              <w:rPr>
                <w:rtl w:val="0"/>
              </w:rPr>
            </w:r>
          </w:p>
        </w:tc>
        <w:tc>
          <w:tcPr/>
          <w:p w:rsidR="00000000" w:rsidDel="00000000" w:rsidP="00000000" w:rsidRDefault="00000000" w:rsidRPr="00000000" w14:paraId="00000036">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Минстрой России</w:t>
            </w:r>
          </w:p>
        </w:tc>
        <w:tc>
          <w:tcPr/>
          <w:p w:rsidR="00000000" w:rsidDel="00000000" w:rsidP="00000000" w:rsidRDefault="00000000" w:rsidRPr="00000000" w14:paraId="0000003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Рассмотрен вопрос о контроле саморегулируемой организацией за деятельностью своих членов.</w:t>
            </w:r>
          </w:p>
          <w:p w:rsidR="00000000" w:rsidDel="00000000" w:rsidP="00000000" w:rsidRDefault="00000000" w:rsidRPr="00000000" w14:paraId="0000003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Сообщается, что положения Постановления Правительства РФ от 10.03.2022 N 336 "Об особенностях организации и осуществления государственного контроля (надзора), муниципального контроля" не распространяются на контроль саморегулируемой организацией за деятельностью своих членов, осуществляемый в соответствии со статьей 55.13 Градостроительного кодекса РФ.</w:t>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tc>
        <w:tc>
          <w:tcPr/>
          <w:p w:rsidR="00000000" w:rsidDel="00000000" w:rsidP="00000000" w:rsidRDefault="00000000" w:rsidRPr="00000000" w14:paraId="0000003A">
            <w:pPr>
              <w:rPr>
                <w:rFonts w:ascii="Times New Roman" w:cs="Times New Roman" w:eastAsia="Times New Roman" w:hAnsi="Times New Roman"/>
                <w:sz w:val="26"/>
                <w:szCs w:val="26"/>
              </w:rPr>
            </w:pPr>
            <w:hyperlink r:id="rId11">
              <w:r w:rsidDel="00000000" w:rsidR="00000000" w:rsidRPr="00000000">
                <w:rPr>
                  <w:rFonts w:ascii="Times New Roman" w:cs="Times New Roman" w:eastAsia="Times New Roman" w:hAnsi="Times New Roman"/>
                  <w:color w:val="0000ff"/>
                  <w:sz w:val="26"/>
                  <w:szCs w:val="26"/>
                  <w:u w:val="single"/>
                  <w:rtl w:val="0"/>
                </w:rPr>
                <w:t xml:space="preserve">Проект Федерального закона N 94578-8 "О внесении изменений в Градостроительный кодекс Российской Федерации и отдельные законодательные акты Российской Федерации"</w:t>
              </w:r>
            </w:hyperlink>
            <w:r w:rsidDel="00000000" w:rsidR="00000000" w:rsidRPr="00000000">
              <w:rPr>
                <w:rtl w:val="0"/>
              </w:rPr>
            </w:r>
          </w:p>
        </w:tc>
        <w:tc>
          <w:tcPr/>
          <w:p w:rsidR="00000000" w:rsidDel="00000000" w:rsidP="00000000" w:rsidRDefault="00000000" w:rsidRPr="00000000" w14:paraId="0000003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Правительство РФ</w:t>
            </w:r>
          </w:p>
        </w:tc>
        <w:tc>
          <w:tcPr/>
          <w:p w:rsidR="00000000" w:rsidDel="00000000" w:rsidP="00000000" w:rsidRDefault="00000000" w:rsidRPr="00000000" w14:paraId="0000003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Предлагается предоставить Правительству РФ дополнительные полномочия по регулированию в 2022 году особенностей выдачи ряда документов и согласований, необходимых для осуществления градостроительной деятельности и строительства.</w:t>
            </w:r>
          </w:p>
          <w:p w:rsidR="00000000" w:rsidDel="00000000" w:rsidP="00000000" w:rsidRDefault="00000000" w:rsidRPr="00000000" w14:paraId="0000003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Законопроектом Правительство РФ также наделяется полномочием определять размер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 процентов.</w:t>
            </w:r>
          </w:p>
          <w:p w:rsidR="00000000" w:rsidDel="00000000" w:rsidP="00000000" w:rsidRDefault="00000000" w:rsidRPr="00000000" w14:paraId="0000003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Кроме того, законопроектом, в числе прочего:</w:t>
            </w:r>
          </w:p>
          <w:p w:rsidR="00000000" w:rsidDel="00000000" w:rsidP="00000000" w:rsidRDefault="00000000" w:rsidRPr="00000000" w14:paraId="0000003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предусматривается уточнение понятия исчерпывающего перечня документов, необходимых застройщику для выполнения мероприятий при реализации проекта по строительству объекта капитального строительства, и устанавливается запрет требовать документы, находящиеся в распоряжении органов государственной власти, органов местного самоуправления и подведомственных указанным органам организаций;</w:t>
            </w:r>
          </w:p>
          <w:p w:rsidR="00000000" w:rsidDel="00000000" w:rsidP="00000000" w:rsidRDefault="00000000" w:rsidRPr="00000000" w14:paraId="0000004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упрощается оформление прав граждан на земельные участки, предназначенные для ведения личного подсобного хозяйства, огородничества, садоводства, строительства гаража, индивидуального жилищного строительства. Так, срок проведения кадастровых работ в отношении указанных земельных участков не должен превышать трех рабочих дней. Сроки осуществления государственного кадастрового учета и государственной регистрации прав на указанные земельных участки также не должны превышать трех рабочих дней или пяти рабочих дней, если заявление подано через многофункциональный центр предоставления государственных и муниципальных услуг.</w:t>
            </w:r>
          </w:p>
        </w:tc>
      </w:tr>
      <w:tr>
        <w:trPr>
          <w:cantSplit w:val="0"/>
          <w:tblHeader w:val="0"/>
        </w:trPr>
        <w:tc>
          <w:tcPr/>
          <w:p w:rsidR="00000000" w:rsidDel="00000000" w:rsidP="00000000" w:rsidRDefault="00000000" w:rsidRPr="00000000" w14:paraId="0000004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tc>
        <w:tc>
          <w:tcPr/>
          <w:p w:rsidR="00000000" w:rsidDel="00000000" w:rsidP="00000000" w:rsidRDefault="00000000" w:rsidRPr="00000000" w14:paraId="00000042">
            <w:pPr>
              <w:rPr>
                <w:rFonts w:ascii="Times New Roman" w:cs="Times New Roman" w:eastAsia="Times New Roman" w:hAnsi="Times New Roman"/>
                <w:color w:val="0000ff"/>
                <w:sz w:val="26"/>
                <w:szCs w:val="26"/>
                <w:u w:val="single"/>
              </w:rPr>
            </w:pPr>
            <w:r w:rsidDel="00000000" w:rsidR="00000000" w:rsidRPr="00000000">
              <w:fldChar w:fldCharType="begin"/>
              <w:instrText xml:space="preserve"> HYPERLINK "http://www.consultant.ru/cons/cgi/online.cgi?req=doc&amp;rnd=6oBAXw&amp;base=LAW&amp;n=412575#jGqbN1Tim07XWUZx" </w:instrText>
              <w:fldChar w:fldCharType="separate"/>
            </w:r>
            <w:r w:rsidDel="00000000" w:rsidR="00000000" w:rsidRPr="00000000">
              <w:rPr>
                <w:rFonts w:ascii="Times New Roman" w:cs="Times New Roman" w:eastAsia="Times New Roman" w:hAnsi="Times New Roman"/>
                <w:color w:val="0000ff"/>
                <w:sz w:val="26"/>
                <w:szCs w:val="26"/>
                <w:u w:val="single"/>
                <w:rtl w:val="0"/>
              </w:rPr>
              <w:t xml:space="preserve">Письмо Минстроя России от 18.03.2022  N 11233-ИФ/08 «Об осуществлении архитектурно-строительного проектирования и проведении государственной экспертизы проектной документации и результатов инженерных изысканий».</w:t>
            </w:r>
            <w:r w:rsidDel="00000000" w:rsidR="00000000" w:rsidRPr="00000000">
              <w:fldChar w:fldCharType="end"/>
            </w:r>
          </w:p>
          <w:tbl>
            <w:tblPr>
              <w:tblStyle w:val="Table3"/>
              <w:tblW w:w="4691.0" w:type="dxa"/>
              <w:jc w:val="left"/>
              <w:tblLayout w:type="fixed"/>
              <w:tblLook w:val="0400"/>
            </w:tblPr>
            <w:tblGrid>
              <w:gridCol w:w="4691"/>
              <w:tblGridChange w:id="0">
                <w:tblGrid>
                  <w:gridCol w:w="4691"/>
                </w:tblGrid>
              </w:tblGridChange>
            </w:tblGrid>
            <w:tr>
              <w:trPr>
                <w:cantSplit w:val="0"/>
                <w:tblHeader w:val="0"/>
              </w:trPr>
              <w:tc>
                <w:tcPr>
                  <w:tcMar>
                    <w:top w:w="0.0" w:type="dxa"/>
                    <w:left w:w="0.0" w:type="dxa"/>
                    <w:bottom w:w="0.0" w:type="dxa"/>
                    <w:right w:w="0.0" w:type="dxa"/>
                  </w:tcMar>
                  <w:vAlign w:val="center"/>
                </w:tcPr>
                <w:p w:rsidR="00000000" w:rsidDel="00000000" w:rsidP="00000000" w:rsidRDefault="00000000" w:rsidRPr="00000000" w14:paraId="00000044">
                  <w:pPr>
                    <w:spacing w:after="0" w:line="240" w:lineRule="auto"/>
                    <w:rPr>
                      <w:rFonts w:ascii="Times New Roman" w:cs="Times New Roman" w:eastAsia="Times New Roman" w:hAnsi="Times New Roman"/>
                      <w:color w:val="0000ff"/>
                      <w:sz w:val="26"/>
                      <w:szCs w:val="26"/>
                      <w:u w:val="single"/>
                    </w:rPr>
                  </w:pPr>
                  <w:r w:rsidDel="00000000" w:rsidR="00000000" w:rsidRPr="00000000">
                    <w:fldChar w:fldCharType="begin"/>
                    <w:instrText xml:space="preserve"> HYPERLINK "http://www.consultant.ru/cons/cgi/online.cgi?req=doc&amp;rnd=6oBAXw&amp;base=LAW&amp;n=412575#jGqbN1Tim07XWUZx" </w:instrText>
                    <w:fldChar w:fldCharType="separate"/>
                  </w:r>
                  <w:r w:rsidDel="00000000" w:rsidR="00000000" w:rsidRPr="00000000">
                    <w:rPr>
                      <w:rtl w:val="0"/>
                    </w:rPr>
                  </w:r>
                  <w:r w:rsidDel="00000000" w:rsidR="00000000" w:rsidRPr="00000000">
                    <w:fldChar w:fldCharType="end"/>
                  </w:r>
                </w:p>
              </w:tc>
            </w:tr>
          </w:tbl>
          <w:p w:rsidR="00000000" w:rsidDel="00000000" w:rsidP="00000000" w:rsidRDefault="00000000" w:rsidRPr="00000000" w14:paraId="00000046">
            <w:pPr>
              <w:jc w:val="both"/>
              <w:rPr>
                <w:rFonts w:ascii="Times New Roman" w:cs="Times New Roman" w:eastAsia="Times New Roman" w:hAnsi="Times New Roman"/>
                <w:sz w:val="26"/>
                <w:szCs w:val="26"/>
              </w:rPr>
            </w:pPr>
            <w:r w:rsidDel="00000000" w:rsidR="00000000" w:rsidRPr="00000000">
              <w:fldChar w:fldCharType="begin"/>
              <w:instrText xml:space="preserve"> HYPERLINK "http://www.consultant.ru/cons/cgi/online.cgi?req=doc&amp;rnd=6oBAXw&amp;base=LAW&amp;n=412575#jGqbN1Tim07XWUZx" </w:instrText>
              <w:fldChar w:fldCharType="separate"/>
            </w:r>
            <w:r w:rsidDel="00000000" w:rsidR="00000000" w:rsidRPr="00000000">
              <w:fldChar w:fldCharType="end"/>
            </w:r>
            <w:r w:rsidDel="00000000" w:rsidR="00000000" w:rsidRPr="00000000">
              <w:rPr>
                <w:rtl w:val="0"/>
              </w:rPr>
            </w:r>
          </w:p>
        </w:tc>
        <w:tc>
          <w:tcPr/>
          <w:p w:rsidR="00000000" w:rsidDel="00000000" w:rsidP="00000000" w:rsidRDefault="00000000" w:rsidRPr="00000000" w14:paraId="00000047">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Минстрой России</w:t>
            </w:r>
          </w:p>
        </w:tc>
        <w:tc>
          <w:tcPr/>
          <w:p w:rsidR="00000000" w:rsidDel="00000000" w:rsidP="00000000" w:rsidRDefault="00000000" w:rsidRPr="00000000" w14:paraId="0000004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При нарушении сроков проведения государственной экспертизы проектной документации или результатов инженерных изысканий организации, осуществляющие архитектурно-строительное проектирование, могут быть исключены из членов саморегулируемых организаций, в которых они состоят.</w:t>
            </w:r>
          </w:p>
          <w:p w:rsidR="00000000" w:rsidDel="00000000" w:rsidP="00000000" w:rsidRDefault="00000000" w:rsidRPr="00000000" w14:paraId="0000004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Указанным организациям при подготовке проектной документации надлежит безусловно соблюдать требования технических регламентов, национальных стандартов и сводов правил, минимизировать количество ошибок, а также выполнять свою работу своевременно и качественно. </w:t>
            </w:r>
          </w:p>
          <w:p w:rsidR="00000000" w:rsidDel="00000000" w:rsidP="00000000" w:rsidRDefault="00000000" w:rsidRPr="00000000" w14:paraId="0000004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ФАУ "Главгосэкспертиза России" будет осуществлять учет организаций, подготовивших проектную документацию с нарушением указанных требований (в том числе на основании информации, представленной органами исполнительной власти субъектов РФ или подведомственными им государственными (бюджетными или автономными) учреждениями). Информация о выявленных нарушениях будет ежемесячно направляться в Минстрой России. </w:t>
            </w:r>
          </w:p>
          <w:p w:rsidR="00000000" w:rsidDel="00000000" w:rsidP="00000000" w:rsidRDefault="00000000" w:rsidRPr="00000000" w14:paraId="0000004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При выявлении указанных выше организаций, осуществляющих архитектурно-строительное проектирование, на заседаниях президиума (штаба) Правительственной комиссии по региональному развитию в Российской Федерации будет рассматриваться вопрос об исключении таких организаций из членов саморегулируемых организаций, в которых они состоят. </w:t>
            </w:r>
          </w:p>
          <w:p w:rsidR="00000000" w:rsidDel="00000000" w:rsidP="00000000" w:rsidRDefault="00000000" w:rsidRPr="00000000" w14:paraId="0000004C">
            <w:pPr>
              <w:jc w:val="both"/>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p>
        </w:tc>
        <w:tc>
          <w:tcPr/>
          <w:p w:rsidR="00000000" w:rsidDel="00000000" w:rsidP="00000000" w:rsidRDefault="00000000" w:rsidRPr="00000000" w14:paraId="0000004E">
            <w:pPr>
              <w:rPr/>
            </w:pPr>
            <w:hyperlink r:id="rId12">
              <w:r w:rsidDel="00000000" w:rsidR="00000000" w:rsidRPr="00000000">
                <w:rPr>
                  <w:rFonts w:ascii="Times New Roman" w:cs="Times New Roman" w:eastAsia="Times New Roman" w:hAnsi="Times New Roman"/>
                  <w:color w:val="0000ff"/>
                  <w:sz w:val="26"/>
                  <w:szCs w:val="26"/>
                  <w:u w:val="single"/>
                  <w:rtl w:val="0"/>
                </w:rPr>
                <w:t xml:space="preserve">Письмо Минстроя России от 24.03.2022  N 12231-АЛ/03 «Об аттестации, переаттестации, продлении срока действия квалификационного аттестата».</w:t>
              </w:r>
            </w:hyperlink>
            <w:r w:rsidDel="00000000" w:rsidR="00000000" w:rsidRPr="00000000">
              <w:rPr>
                <w:rtl w:val="0"/>
              </w:rPr>
            </w:r>
          </w:p>
        </w:tc>
        <w:tc>
          <w:tcPr/>
          <w:p w:rsidR="00000000" w:rsidDel="00000000" w:rsidP="00000000" w:rsidRDefault="00000000" w:rsidRPr="00000000" w14:paraId="0000004F">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Минстрой России</w:t>
            </w:r>
          </w:p>
        </w:tc>
        <w:tc>
          <w:tcPr/>
          <w:p w:rsidR="00000000" w:rsidDel="00000000" w:rsidP="00000000" w:rsidRDefault="00000000" w:rsidRPr="00000000" w14:paraId="0000005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Рассмотрен вопрос о продлении срока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00000" w:rsidDel="00000000" w:rsidP="00000000" w:rsidRDefault="00000000" w:rsidRPr="00000000" w14:paraId="0000005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Разъяснены положения Постановления Правительства РФ от 31.12.2020 N 2460.</w:t>
            </w:r>
          </w:p>
          <w:p w:rsidR="00000000" w:rsidDel="00000000" w:rsidP="00000000" w:rsidRDefault="00000000" w:rsidRPr="00000000" w14:paraId="0000005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Также Минстрой России информирует о том, что на 2 года продлевается срок действия квалификационных аттестатов, полученных в соответствии со статьей 49 Градостроительного кодекса РФ, срок действия которых истекает в период со дня вступления в силу Постановления Правительства РФ от 12.03.2022 N 353 "Об особенностях разрешительной деятельности в Российской Федерации в 2022 году" по 31 декабря 2023 г.</w:t>
            </w:r>
          </w:p>
        </w:tc>
      </w:tr>
      <w:tr>
        <w:trPr>
          <w:cantSplit w:val="0"/>
          <w:tblHeader w:val="0"/>
        </w:trPr>
        <w:tc>
          <w:tcPr/>
          <w:p w:rsidR="00000000" w:rsidDel="00000000" w:rsidP="00000000" w:rsidRDefault="00000000" w:rsidRPr="00000000" w14:paraId="0000005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c>
          <w:tcPr/>
          <w:p w:rsidR="00000000" w:rsidDel="00000000" w:rsidP="00000000" w:rsidRDefault="00000000" w:rsidRPr="00000000" w14:paraId="00000054">
            <w:pPr>
              <w:rPr/>
            </w:pPr>
            <w:hyperlink r:id="rId13">
              <w:r w:rsidDel="00000000" w:rsidR="00000000" w:rsidRPr="00000000">
                <w:rPr>
                  <w:rFonts w:ascii="Times New Roman" w:cs="Times New Roman" w:eastAsia="Times New Roman" w:hAnsi="Times New Roman"/>
                  <w:color w:val="0000ff"/>
                  <w:sz w:val="26"/>
                  <w:szCs w:val="26"/>
                  <w:u w:val="single"/>
                  <w:rtl w:val="0"/>
                </w:rPr>
                <w:t xml:space="preserve">Постановление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hyperlink>
            <w:r w:rsidDel="00000000" w:rsidR="00000000" w:rsidRPr="00000000">
              <w:rPr>
                <w:rtl w:val="0"/>
              </w:rPr>
            </w:r>
          </w:p>
        </w:tc>
        <w:tc>
          <w:tcPr/>
          <w:p w:rsidR="00000000" w:rsidDel="00000000" w:rsidP="00000000" w:rsidRDefault="00000000" w:rsidRPr="00000000" w14:paraId="00000055">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Правительство РФ</w:t>
            </w:r>
          </w:p>
        </w:tc>
        <w:tc>
          <w:tcPr/>
          <w:p w:rsidR="00000000" w:rsidDel="00000000" w:rsidP="00000000" w:rsidRDefault="00000000" w:rsidRPr="00000000" w14:paraId="0000005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Установлен особый порядок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и на ввод в эксплуатацию.</w:t>
            </w:r>
          </w:p>
          <w:p w:rsidR="00000000" w:rsidDel="00000000" w:rsidP="00000000" w:rsidRDefault="00000000" w:rsidRPr="00000000" w14:paraId="0000005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Реализованы положения Федерального закона от 08.03.2022 N 46-ФЗ "О внесении изменений в отдельные законодательные акты Российской Федерации".</w:t>
            </w:r>
          </w:p>
          <w:p w:rsidR="00000000" w:rsidDel="00000000" w:rsidP="00000000" w:rsidRDefault="00000000" w:rsidRPr="00000000" w14:paraId="0000005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частности:</w:t>
            </w:r>
          </w:p>
          <w:p w:rsidR="00000000" w:rsidDel="00000000" w:rsidP="00000000" w:rsidRDefault="00000000" w:rsidRPr="00000000" w14:paraId="0000005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 один год продлевается срок действия разрешений на строительство объектов капитального строительства, срок действия которых истекает в период со дня вступления в силу настоящего Постановления до 1 августа 2022 г.;</w:t>
            </w:r>
          </w:p>
          <w:p w:rsidR="00000000" w:rsidDel="00000000" w:rsidP="00000000" w:rsidRDefault="00000000" w:rsidRPr="00000000" w14:paraId="0000005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 один год продлевается установленный Градостроительным кодексом РФ срок использования указанной в градостроительном плане земельного участка информации для целей подготовки проектной документации, выдачи разрешения на строительство объекта капитального строительства и внесения в него изменений в случае, если указанный срок истекает в период со дня вступления в силу настоящего Постановления до 1 января 2023 г.</w:t>
            </w:r>
          </w:p>
        </w:tc>
      </w:tr>
      <w:tr>
        <w:trPr>
          <w:cantSplit w:val="0"/>
          <w:tblHeader w:val="0"/>
        </w:trPr>
        <w:tc>
          <w:tcPr/>
          <w:p w:rsidR="00000000" w:rsidDel="00000000" w:rsidP="00000000" w:rsidRDefault="00000000" w:rsidRPr="00000000" w14:paraId="0000005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w:t>
            </w:r>
          </w:p>
        </w:tc>
        <w:tc>
          <w:tcPr/>
          <w:p w:rsidR="00000000" w:rsidDel="00000000" w:rsidP="00000000" w:rsidRDefault="00000000" w:rsidRPr="00000000" w14:paraId="0000005C">
            <w:pPr>
              <w:rPr>
                <w:rFonts w:ascii="Times New Roman" w:cs="Times New Roman" w:eastAsia="Times New Roman" w:hAnsi="Times New Roman"/>
                <w:sz w:val="26"/>
                <w:szCs w:val="26"/>
              </w:rPr>
            </w:pPr>
            <w:hyperlink r:id="rId14">
              <w:r w:rsidDel="00000000" w:rsidR="00000000" w:rsidRPr="00000000">
                <w:rPr>
                  <w:rFonts w:ascii="Times New Roman" w:cs="Times New Roman" w:eastAsia="Times New Roman" w:hAnsi="Times New Roman"/>
                  <w:color w:val="0000ff"/>
                  <w:sz w:val="26"/>
                  <w:szCs w:val="26"/>
                  <w:u w:val="single"/>
                  <w:rtl w:val="0"/>
                </w:rPr>
                <w:t xml:space="preserve">Проект Постановления Правительства РФ "О внесении изменений в некоторые акты Правительства Российской Федерации"</w:t>
              </w:r>
            </w:hyperlink>
            <w:r w:rsidDel="00000000" w:rsidR="00000000" w:rsidRPr="00000000">
              <w:rPr>
                <w:rtl w:val="0"/>
              </w:rPr>
            </w:r>
          </w:p>
        </w:tc>
        <w:tc>
          <w:tcPr/>
          <w:p w:rsidR="00000000" w:rsidDel="00000000" w:rsidP="00000000" w:rsidRDefault="00000000" w:rsidRPr="00000000" w14:paraId="0000005D">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Правительство РФ</w:t>
            </w:r>
          </w:p>
        </w:tc>
        <w:tc>
          <w:tcPr/>
          <w:p w:rsidR="00000000" w:rsidDel="00000000" w:rsidP="00000000" w:rsidRDefault="00000000" w:rsidRPr="00000000" w14:paraId="0000005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Предлагается урегулировать некоторые вопросы, касающиеся подготовки проектов решений о реализации бюджетных инвестиций в объекты капстроительства.</w:t>
            </w:r>
          </w:p>
          <w:p w:rsidR="00000000" w:rsidDel="00000000" w:rsidP="00000000" w:rsidRDefault="00000000" w:rsidRPr="00000000" w14:paraId="0000005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 частности, предлагается установить требование осуществлять расчет планируемого размера обеспечения исполнения госконтракта, предметом которого является строительство (реконструкция) объекта капитального строительства (при необходимости установления такого размера). </w:t>
            </w:r>
          </w:p>
          <w:p w:rsidR="00000000" w:rsidDel="00000000" w:rsidP="00000000" w:rsidRDefault="00000000" w:rsidRPr="00000000" w14:paraId="0000006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Кроме того, в случае заключения контрактов, предметом которых является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предлагается при принятии решений об осуществлении капвложений предусматривать условие о заключении соответствующего контракта ("под ключ"). </w:t>
            </w:r>
          </w:p>
          <w:p w:rsidR="00000000" w:rsidDel="00000000" w:rsidP="00000000" w:rsidRDefault="00000000" w:rsidRPr="00000000" w14:paraId="0000006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p>
        </w:tc>
        <w:tc>
          <w:tcPr/>
          <w:p w:rsidR="00000000" w:rsidDel="00000000" w:rsidP="00000000" w:rsidRDefault="00000000" w:rsidRPr="00000000" w14:paraId="00000063">
            <w:pPr>
              <w:rPr>
                <w:rFonts w:ascii="Times New Roman" w:cs="Times New Roman" w:eastAsia="Times New Roman" w:hAnsi="Times New Roman"/>
                <w:sz w:val="26"/>
                <w:szCs w:val="26"/>
              </w:rPr>
            </w:pPr>
            <w:hyperlink r:id="rId15">
              <w:r w:rsidDel="00000000" w:rsidR="00000000" w:rsidRPr="00000000">
                <w:rPr>
                  <w:rFonts w:ascii="Times New Roman" w:cs="Times New Roman" w:eastAsia="Times New Roman" w:hAnsi="Times New Roman"/>
                  <w:color w:val="0000ff"/>
                  <w:sz w:val="26"/>
                  <w:szCs w:val="26"/>
                  <w:u w:val="single"/>
                  <w:rtl w:val="0"/>
                </w:rPr>
                <w:t xml:space="preserve">Постановление Правительства РФ от 02.04.2022 N 569"О внесении изменения в Положение о составе и содержании документации по планировке территории, предусматривающей размещение одного или нескольких линейных объектов"</w:t>
              </w:r>
            </w:hyperlink>
            <w:r w:rsidDel="00000000" w:rsidR="00000000" w:rsidRPr="00000000">
              <w:rPr>
                <w:rtl w:val="0"/>
              </w:rPr>
            </w:r>
          </w:p>
        </w:tc>
        <w:tc>
          <w:tcPr/>
          <w:p w:rsidR="00000000" w:rsidDel="00000000" w:rsidP="00000000" w:rsidRDefault="00000000" w:rsidRPr="00000000" w14:paraId="0000006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Правительство РФ</w:t>
            </w:r>
          </w:p>
        </w:tc>
        <w:tc>
          <w:tcPr/>
          <w:p w:rsidR="00000000" w:rsidDel="00000000" w:rsidP="00000000" w:rsidRDefault="00000000" w:rsidRPr="00000000" w14:paraId="0000006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Внесены уточнения в содержание основной части проекта планировки территории.</w:t>
            </w:r>
          </w:p>
          <w:p w:rsidR="00000000" w:rsidDel="00000000" w:rsidP="00000000" w:rsidRDefault="00000000" w:rsidRPr="00000000" w14:paraId="000000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Согласно изменениям, внесенным в Раздел 1 "Проект планировки территории. Графическая часть", в случае если в связи с реконструкцией линейных объектов не устанавливаются, не отменяются, не изменяются красные линии и (или) не изменяются границы зон планируемого размещения этих линейных объектов, подготовка соответствующего чертежа красных линий и (или) чертежа границ зон планируемого размещения линейных объектов, подлежащих реконструкции в связи с изменением их местоположения, не требуется.</w:t>
            </w:r>
          </w:p>
        </w:tc>
      </w:tr>
      <w:tr>
        <w:trPr>
          <w:cantSplit w:val="0"/>
          <w:tblHeader w:val="0"/>
        </w:trPr>
        <w:tc>
          <w:tcPr/>
          <w:p w:rsidR="00000000" w:rsidDel="00000000" w:rsidP="00000000" w:rsidRDefault="00000000" w:rsidRPr="00000000" w14:paraId="0000006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w:t>
            </w:r>
          </w:p>
        </w:tc>
        <w:tc>
          <w:tcPr/>
          <w:p w:rsidR="00000000" w:rsidDel="00000000" w:rsidP="00000000" w:rsidRDefault="00000000" w:rsidRPr="00000000" w14:paraId="00000068">
            <w:pPr>
              <w:rPr>
                <w:rFonts w:ascii="Times New Roman" w:cs="Times New Roman" w:eastAsia="Times New Roman" w:hAnsi="Times New Roman"/>
                <w:sz w:val="26"/>
                <w:szCs w:val="26"/>
              </w:rPr>
            </w:pPr>
            <w:hyperlink r:id="rId16">
              <w:r w:rsidDel="00000000" w:rsidR="00000000" w:rsidRPr="00000000">
                <w:rPr>
                  <w:rFonts w:ascii="Times New Roman" w:cs="Times New Roman" w:eastAsia="Times New Roman" w:hAnsi="Times New Roman"/>
                  <w:color w:val="0000ff"/>
                  <w:sz w:val="26"/>
                  <w:szCs w:val="26"/>
                  <w:u w:val="single"/>
                  <w:rtl w:val="0"/>
                </w:rPr>
                <w:t xml:space="preserve">Постановление Правительства РФ от 04.04.2022 N 579"Об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w:t>
              </w:r>
            </w:hyperlink>
            <w:r w:rsidDel="00000000" w:rsidR="00000000" w:rsidRPr="00000000">
              <w:rPr>
                <w:rtl w:val="0"/>
              </w:rPr>
            </w:r>
          </w:p>
        </w:tc>
        <w:tc>
          <w:tcPr/>
          <w:p w:rsidR="00000000" w:rsidDel="00000000" w:rsidP="00000000" w:rsidRDefault="00000000" w:rsidRPr="00000000" w14:paraId="0000006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Правительство РФ</w:t>
            </w:r>
          </w:p>
        </w:tc>
        <w:tc>
          <w:tcPr/>
          <w:p w:rsidR="00000000" w:rsidDel="00000000" w:rsidP="00000000" w:rsidRDefault="00000000" w:rsidRPr="00000000" w14:paraId="000000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Упрощен порядок проведения государственной экспертизы проектной документации объектов капитального строительства.</w:t>
            </w:r>
          </w:p>
          <w:p w:rsidR="00000000" w:rsidDel="00000000" w:rsidP="00000000" w:rsidRDefault="00000000" w:rsidRPr="00000000" w14:paraId="0000006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Предусмотрено, что государственная экспертиза может не проводиться в случае, если изменения в проектной документации, связанные с заменой строительных ресурсов на аналоги, не приводят к увеличению сметной стоимости строительства более чем на 30 процентов и свыше 100 млн. рублей.</w:t>
            </w:r>
          </w:p>
          <w:p w:rsidR="00000000" w:rsidDel="00000000" w:rsidP="00000000" w:rsidRDefault="00000000" w:rsidRPr="00000000" w14:paraId="0000006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Если замена стройматериалов на аналоги приводит к увеличению сметной стоимости строительства более чем на 30 процентов и свыше 100 млн. рублей,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w:t>
            </w:r>
          </w:p>
          <w:p w:rsidR="00000000" w:rsidDel="00000000" w:rsidP="00000000" w:rsidRDefault="00000000" w:rsidRPr="00000000" w14:paraId="0000006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 указанном случае повторная экспертиза проводится бесплатно и в срок, не превышающий 14 рабочих дней.</w:t>
            </w:r>
          </w:p>
        </w:tc>
      </w:tr>
      <w:tr>
        <w:trPr>
          <w:cantSplit w:val="0"/>
          <w:tblHeader w:val="0"/>
        </w:trPr>
        <w:tc>
          <w:tcPr/>
          <w:p w:rsidR="00000000" w:rsidDel="00000000" w:rsidP="00000000" w:rsidRDefault="00000000" w:rsidRPr="00000000" w14:paraId="0000006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w:t>
            </w:r>
          </w:p>
        </w:tc>
        <w:tc>
          <w:tcPr/>
          <w:p w:rsidR="00000000" w:rsidDel="00000000" w:rsidP="00000000" w:rsidRDefault="00000000" w:rsidRPr="00000000" w14:paraId="0000006F">
            <w:pPr>
              <w:rPr>
                <w:rFonts w:ascii="Times New Roman" w:cs="Times New Roman" w:eastAsia="Times New Roman" w:hAnsi="Times New Roman"/>
                <w:sz w:val="26"/>
                <w:szCs w:val="26"/>
              </w:rPr>
            </w:pPr>
            <w:hyperlink r:id="rId17">
              <w:r w:rsidDel="00000000" w:rsidR="00000000" w:rsidRPr="00000000">
                <w:rPr>
                  <w:rFonts w:ascii="Times New Roman" w:cs="Times New Roman" w:eastAsia="Times New Roman" w:hAnsi="Times New Roman"/>
                  <w:color w:val="0000ff"/>
                  <w:sz w:val="26"/>
                  <w:szCs w:val="26"/>
                  <w:u w:val="single"/>
                  <w:rtl w:val="0"/>
                </w:rPr>
                <w:t xml:space="preserve">Проект Федерального закона N 102053-8 "О внесении изменения в статью 201 Уголовного кодекса Российской Федерации"</w:t>
              </w:r>
            </w:hyperlink>
            <w:r w:rsidDel="00000000" w:rsidR="00000000" w:rsidRPr="00000000">
              <w:rPr>
                <w:rtl w:val="0"/>
              </w:rPr>
            </w:r>
          </w:p>
        </w:tc>
        <w:tc>
          <w:tcPr/>
          <w:p w:rsidR="00000000" w:rsidDel="00000000" w:rsidP="00000000" w:rsidRDefault="00000000" w:rsidRPr="00000000" w14:paraId="00000070">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Правительство РФ</w:t>
            </w:r>
          </w:p>
        </w:tc>
        <w:tc>
          <w:tcPr/>
          <w:p w:rsidR="00000000" w:rsidDel="00000000" w:rsidP="00000000" w:rsidRDefault="00000000" w:rsidRPr="00000000" w14:paraId="0000007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 Госдуму внесен законопроект об уголовной ответственности за исполнение санкций на территории РФ.</w:t>
            </w:r>
          </w:p>
          <w:p w:rsidR="00000000" w:rsidDel="00000000" w:rsidP="00000000" w:rsidRDefault="00000000" w:rsidRPr="00000000" w14:paraId="0000007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Часть вторую статьи 201 Уголовного кодекса РФ "Злоупотребление полномочиями" предлагается дополнить положением о деянии, совершенном в целях исполнения решения иностранного государства, союза иностранных государств или международной организации о введении мер ограничительного характера против РФ.</w:t>
            </w:r>
          </w:p>
          <w:p w:rsidR="00000000" w:rsidDel="00000000" w:rsidP="00000000" w:rsidRDefault="00000000" w:rsidRPr="00000000" w14:paraId="0000007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Санкция части второй указанной статьи предполагает, что такое деяние будет наказываться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r>
        <w:trPr>
          <w:cantSplit w:val="0"/>
          <w:tblHeader w:val="0"/>
        </w:trPr>
        <w:tc>
          <w:tcPr/>
          <w:p w:rsidR="00000000" w:rsidDel="00000000" w:rsidP="00000000" w:rsidRDefault="00000000" w:rsidRPr="00000000" w14:paraId="0000007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w:t>
            </w:r>
          </w:p>
        </w:tc>
        <w:tc>
          <w:tcPr/>
          <w:p w:rsidR="00000000" w:rsidDel="00000000" w:rsidP="00000000" w:rsidRDefault="00000000" w:rsidRPr="00000000" w14:paraId="00000075">
            <w:pPr>
              <w:rPr>
                <w:rFonts w:ascii="Times New Roman" w:cs="Times New Roman" w:eastAsia="Times New Roman" w:hAnsi="Times New Roman"/>
                <w:sz w:val="26"/>
                <w:szCs w:val="26"/>
              </w:rPr>
            </w:pPr>
            <w:hyperlink r:id="rId18">
              <w:r w:rsidDel="00000000" w:rsidR="00000000" w:rsidRPr="00000000">
                <w:rPr>
                  <w:rFonts w:ascii="Times New Roman" w:cs="Times New Roman" w:eastAsia="Times New Roman" w:hAnsi="Times New Roman"/>
                  <w:color w:val="0000ff"/>
                  <w:sz w:val="26"/>
                  <w:szCs w:val="26"/>
                  <w:u w:val="single"/>
                  <w:rtl w:val="0"/>
                </w:rPr>
                <w:t xml:space="preserve">Федеральный закон от 16.04.2022            N 104-ФЗ"О внесении изменений в отдельные законодательные акты Российской Федерации"</w:t>
              </w:r>
            </w:hyperlink>
            <w:r w:rsidDel="00000000" w:rsidR="00000000" w:rsidRPr="00000000">
              <w:rPr>
                <w:rtl w:val="0"/>
              </w:rPr>
            </w:r>
          </w:p>
        </w:tc>
        <w:tc>
          <w:tcPr/>
          <w:p w:rsidR="00000000" w:rsidDel="00000000" w:rsidP="00000000" w:rsidRDefault="00000000" w:rsidRPr="00000000" w14:paraId="00000076">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Правительство РФ</w:t>
            </w:r>
          </w:p>
        </w:tc>
        <w:tc>
          <w:tcPr/>
          <w:p w:rsidR="00000000" w:rsidDel="00000000" w:rsidP="00000000" w:rsidRDefault="00000000" w:rsidRPr="00000000" w14:paraId="0000007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Максимальный срок оплаты заказчиком поставленного товара, выполненной работы (ее результатов), оказанной услуги, отдельных этапов исполнения контракта сокращен до семи рабочих дней с даты подписания заказчиком документа о приемке.</w:t>
            </w:r>
          </w:p>
          <w:p w:rsidR="00000000" w:rsidDel="00000000" w:rsidP="00000000" w:rsidRDefault="00000000" w:rsidRPr="00000000" w14:paraId="0000007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 частности, указанным документом внесены следующие изменения в Федеральный закон от 18.07.2011 № 223-ФЗ «О закупках товаров, работ, услуг отдельными видами юридических лиц» и Федеральный закон от 05.04.2013 </w:t>
            </w:r>
          </w:p>
          <w:p w:rsidR="00000000" w:rsidDel="00000000" w:rsidP="00000000" w:rsidRDefault="00000000" w:rsidRPr="00000000" w14:paraId="0000007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44-ФЗ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07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закрепляется возможность заключения контрактов, предметом которых может быть одновременно подготовка проектной документации и (или) выполнение результатов инженерных изысканий, выполнение работ по строительству, реконструкции и (или) капитальному ремонту объекта капитального строительства, а также поставка оборудования, предусмотренного проектной документации и необходимого для обеспечения эксплуатации объекта;</w:t>
            </w:r>
          </w:p>
          <w:p w:rsidR="00000000" w:rsidDel="00000000" w:rsidP="00000000" w:rsidRDefault="00000000" w:rsidRPr="00000000" w14:paraId="0000007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устанавливается запрет на использование иностранной валюты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за исключением случая обоснования и определения таких цен заказчиком, осуществляющим деятельность на территории иностранного государства.</w:t>
            </w:r>
          </w:p>
          <w:p w:rsidR="00000000" w:rsidDel="00000000" w:rsidP="00000000" w:rsidRDefault="00000000" w:rsidRPr="00000000" w14:paraId="0000007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6"/>
                <w:szCs w:val="26"/>
              </w:rPr>
            </w:pPr>
            <w:hyperlink r:id="rId19">
              <w:r w:rsidDel="00000000" w:rsidR="00000000" w:rsidRPr="00000000">
                <w:rPr>
                  <w:rFonts w:ascii="Times New Roman" w:cs="Times New Roman" w:eastAsia="Times New Roman" w:hAnsi="Times New Roman"/>
                  <w:color w:val="0000ff"/>
                  <w:sz w:val="26"/>
                  <w:szCs w:val="26"/>
                  <w:u w:val="single"/>
                  <w:rtl w:val="0"/>
                </w:rPr>
                <w:t xml:space="preserve">Короткий дайджест Федерального закона N104-ФЗ от 16.04.2022:</w:t>
              </w:r>
            </w:hyperlink>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7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w:t>
            </w:r>
          </w:p>
        </w:tc>
        <w:tc>
          <w:tcPr/>
          <w:p w:rsidR="00000000" w:rsidDel="00000000" w:rsidP="00000000" w:rsidRDefault="00000000" w:rsidRPr="00000000" w14:paraId="00000080">
            <w:pPr>
              <w:rPr>
                <w:rFonts w:ascii="Times New Roman" w:cs="Times New Roman" w:eastAsia="Times New Roman" w:hAnsi="Times New Roman"/>
                <w:sz w:val="26"/>
                <w:szCs w:val="26"/>
              </w:rPr>
            </w:pPr>
            <w:hyperlink r:id="rId20">
              <w:r w:rsidDel="00000000" w:rsidR="00000000" w:rsidRPr="00000000">
                <w:rPr>
                  <w:rFonts w:ascii="Times New Roman" w:cs="Times New Roman" w:eastAsia="Times New Roman" w:hAnsi="Times New Roman"/>
                  <w:color w:val="0000ff"/>
                  <w:sz w:val="26"/>
                  <w:szCs w:val="26"/>
                  <w:u w:val="single"/>
                  <w:rtl w:val="0"/>
                </w:rPr>
                <w:t xml:space="preserve">Постановление Правительства РФ от 16.04.2022   N 680"Об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hyperlink>
            <w:r w:rsidDel="00000000" w:rsidR="00000000" w:rsidRPr="00000000">
              <w:rPr>
                <w:rtl w:val="0"/>
              </w:rPr>
            </w:r>
          </w:p>
        </w:tc>
        <w:tc>
          <w:tcPr/>
          <w:p w:rsidR="00000000" w:rsidDel="00000000" w:rsidP="00000000" w:rsidRDefault="00000000" w:rsidRPr="00000000" w14:paraId="00000081">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Правительство РФ</w:t>
            </w:r>
          </w:p>
        </w:tc>
        <w:tc>
          <w:tcPr/>
          <w:p w:rsidR="00000000" w:rsidDel="00000000" w:rsidP="00000000" w:rsidRDefault="00000000" w:rsidRPr="00000000" w14:paraId="0000008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      На 2022 год определены существенные условия </w:t>
            </w:r>
            <w:r w:rsidDel="00000000" w:rsidR="00000000" w:rsidRPr="00000000">
              <w:rPr>
                <w:rFonts w:ascii="Times New Roman" w:cs="Times New Roman" w:eastAsia="Times New Roman" w:hAnsi="Times New Roman"/>
                <w:sz w:val="26"/>
                <w:szCs w:val="26"/>
                <w:rtl w:val="0"/>
              </w:rPr>
              <w:t xml:space="preserve">государственных и муниципальных контрактов в области строительства, которые могут быть изменены.</w:t>
            </w:r>
          </w:p>
          <w:p w:rsidR="00000000" w:rsidDel="00000000" w:rsidP="00000000" w:rsidRDefault="00000000" w:rsidRPr="00000000" w14:paraId="0000008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Установлено, что при возникновении в ходе исполнения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допускаются: </w:t>
            </w:r>
          </w:p>
          <w:p w:rsidR="00000000" w:rsidDel="00000000" w:rsidP="00000000" w:rsidRDefault="00000000" w:rsidRPr="00000000" w14:paraId="0000008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ранее изменялся; </w:t>
            </w:r>
          </w:p>
          <w:p w:rsidR="00000000" w:rsidDel="00000000" w:rsidP="00000000" w:rsidRDefault="00000000" w:rsidRPr="00000000" w14:paraId="0000008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изменение объема и (или) видов выполняемых работ по контракту, спецификации и типов оборудования, предусмотренных проектной документацией; </w:t>
            </w:r>
          </w:p>
          <w:p w:rsidR="00000000" w:rsidDel="00000000" w:rsidP="00000000" w:rsidRDefault="00000000" w:rsidRPr="00000000" w14:paraId="0000008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 </w:t>
            </w:r>
          </w:p>
          <w:p w:rsidR="00000000" w:rsidDel="00000000" w:rsidP="00000000" w:rsidRDefault="00000000" w:rsidRPr="00000000" w14:paraId="0000008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изменение отдельных этапов исполнения контракта, в том числе наименования, состава, объемов и видов работ, цены отдельного этапа исполнения контракта; </w:t>
            </w:r>
          </w:p>
          <w:p w:rsidR="00000000" w:rsidDel="00000000" w:rsidP="00000000" w:rsidRDefault="00000000" w:rsidRPr="00000000" w14:paraId="0000008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установление условия о выплате аванса или об изменении установленного размера аванса; </w:t>
            </w:r>
          </w:p>
          <w:p w:rsidR="00000000" w:rsidDel="00000000" w:rsidP="00000000" w:rsidRDefault="00000000" w:rsidRPr="00000000" w14:paraId="0000008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изменение порядка приемки и оплаты отдельного этапа исполнения контракта, результатов выполненных работ. </w:t>
            </w:r>
          </w:p>
          <w:p w:rsidR="00000000" w:rsidDel="00000000" w:rsidP="00000000" w:rsidRDefault="00000000" w:rsidRPr="00000000" w14:paraId="0000008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 целью изменения в соответствии с настоящим Постановлением существенных условий контракта: </w:t>
            </w:r>
          </w:p>
          <w:p w:rsidR="00000000" w:rsidDel="00000000" w:rsidP="00000000" w:rsidRDefault="00000000" w:rsidRPr="00000000" w14:paraId="0000008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поставщик (подрядчик, исполнитель) направляет заказчику в письменной форме соответствующее предложение с приложением информации и документов, обосновывающих такое предложение, а также подписанного проекта соглашения об изменении условий контракта; </w:t>
            </w:r>
          </w:p>
          <w:p w:rsidR="00000000" w:rsidDel="00000000" w:rsidP="00000000" w:rsidRDefault="00000000" w:rsidRPr="00000000" w14:paraId="0000008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заказчик в течение 10 рабочих дней со дня, следующего за днем поступления указанного предложения направляет поставщику (подрядчику, исполнителю) подписанное соглашение об изменении условий контракта и включает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 </w:t>
            </w:r>
          </w:p>
          <w:p w:rsidR="00000000" w:rsidDel="00000000" w:rsidP="00000000" w:rsidRDefault="00000000" w:rsidRPr="00000000" w14:paraId="0000008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8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w:t>
            </w:r>
          </w:p>
        </w:tc>
        <w:tc>
          <w:tcPr/>
          <w:p w:rsidR="00000000" w:rsidDel="00000000" w:rsidP="00000000" w:rsidRDefault="00000000" w:rsidRPr="00000000" w14:paraId="0000008F">
            <w:pPr>
              <w:rPr>
                <w:rFonts w:ascii="Times New Roman" w:cs="Times New Roman" w:eastAsia="Times New Roman" w:hAnsi="Times New Roman"/>
                <w:sz w:val="26"/>
                <w:szCs w:val="26"/>
              </w:rPr>
            </w:pPr>
            <w:hyperlink r:id="rId21">
              <w:r w:rsidDel="00000000" w:rsidR="00000000" w:rsidRPr="00000000">
                <w:rPr>
                  <w:rFonts w:ascii="Times New Roman" w:cs="Times New Roman" w:eastAsia="Times New Roman" w:hAnsi="Times New Roman"/>
                  <w:color w:val="0000ff"/>
                  <w:sz w:val="26"/>
                  <w:szCs w:val="26"/>
                  <w:u w:val="single"/>
                  <w:rtl w:val="0"/>
                </w:rPr>
                <w:t xml:space="preserve">Постановление Правительства РФ от 20.04.2022 N 711"О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hyperlink>
            <w:r w:rsidDel="00000000" w:rsidR="00000000" w:rsidRPr="00000000">
              <w:rPr>
                <w:rtl w:val="0"/>
              </w:rPr>
            </w:r>
          </w:p>
        </w:tc>
        <w:tc>
          <w:tcPr/>
          <w:p w:rsidR="00000000" w:rsidDel="00000000" w:rsidP="00000000" w:rsidRDefault="00000000" w:rsidRPr="00000000" w14:paraId="00000090">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Правительство РФ</w:t>
            </w:r>
          </w:p>
        </w:tc>
        <w:tc>
          <w:tcPr/>
          <w:p w:rsidR="00000000" w:rsidDel="00000000" w:rsidP="00000000" w:rsidRDefault="00000000" w:rsidRPr="00000000" w14:paraId="0000009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6"/>
                <w:szCs w:val="26"/>
                <w:rtl w:val="0"/>
              </w:rPr>
              <w:t xml:space="preserve">Скорректировано понятие "этап строительства" для различных объектов.</w:t>
            </w:r>
          </w:p>
          <w:p w:rsidR="00000000" w:rsidDel="00000000" w:rsidP="00000000" w:rsidRDefault="00000000" w:rsidRPr="00000000" w14:paraId="0000009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w:t>
            </w:r>
          </w:p>
          <w:p w:rsidR="00000000" w:rsidDel="00000000" w:rsidP="00000000" w:rsidRDefault="00000000" w:rsidRPr="00000000" w14:paraId="0000009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Также установлено, что может считаться этапом строительства в отношении метрополитена, морских и речных портов, линейных объектов, объектов использования атомной энергии, объектов производственного назначения. </w:t>
            </w:r>
          </w:p>
          <w:p w:rsidR="00000000" w:rsidDel="00000000" w:rsidP="00000000" w:rsidRDefault="00000000" w:rsidRPr="00000000" w14:paraId="0000009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Настоящее Постановление вступает в силу с 1 сентября 2022 г. </w:t>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w:t>
            </w:r>
          </w:p>
        </w:tc>
        <w:tc>
          <w:tcPr/>
          <w:p w:rsidR="00000000" w:rsidDel="00000000" w:rsidP="00000000" w:rsidRDefault="00000000" w:rsidRPr="00000000" w14:paraId="00000097">
            <w:pPr>
              <w:rPr>
                <w:rFonts w:ascii="Times New Roman" w:cs="Times New Roman" w:eastAsia="Times New Roman" w:hAnsi="Times New Roman"/>
                <w:sz w:val="26"/>
                <w:szCs w:val="26"/>
              </w:rPr>
            </w:pPr>
            <w:hyperlink r:id="rId22">
              <w:r w:rsidDel="00000000" w:rsidR="00000000" w:rsidRPr="00000000">
                <w:rPr>
                  <w:rFonts w:ascii="Times New Roman" w:cs="Times New Roman" w:eastAsia="Times New Roman" w:hAnsi="Times New Roman"/>
                  <w:color w:val="0000ff"/>
                  <w:sz w:val="26"/>
                  <w:szCs w:val="26"/>
                  <w:u w:val="single"/>
                  <w:rtl w:val="0"/>
                </w:rPr>
                <w:t xml:space="preserve">Постановление Правительства Российской Федерации от 20.04.2022 № 712 "Об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w:t>
              </w:r>
            </w:hyperlink>
            <w:r w:rsidDel="00000000" w:rsidR="00000000" w:rsidRPr="00000000">
              <w:rPr>
                <w:rtl w:val="0"/>
              </w:rPr>
            </w:r>
          </w:p>
        </w:tc>
        <w:tc>
          <w:tcPr/>
          <w:p w:rsidR="00000000" w:rsidDel="00000000" w:rsidP="00000000" w:rsidRDefault="00000000" w:rsidRPr="00000000" w14:paraId="00000098">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Правительство РФ</w:t>
            </w:r>
          </w:p>
        </w:tc>
        <w:tc>
          <w:tcPr/>
          <w:p w:rsidR="00000000" w:rsidDel="00000000" w:rsidP="00000000" w:rsidRDefault="00000000" w:rsidRPr="00000000" w14:paraId="0000009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 решению Правительства РФ:</w:t>
            </w:r>
          </w:p>
          <w:p w:rsidR="00000000" w:rsidDel="00000000" w:rsidP="00000000" w:rsidRDefault="00000000" w:rsidRPr="00000000" w14:paraId="0000009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строительный контроль при строительстве объекта транспортной инфраструктуры дорожного хозяйства федерального значения, строительство, реконструкцию, капитальный ремонт которого планируется осуществлять полностью или частично за счет средств федерального бюджета, осуществляется подведомственным Федеральному дорожному агентству государственным (бюджетным или автономным) учреждением в случае, если сметная стоимость такого объекта превышает 2 млрд. рублей;</w:t>
            </w:r>
          </w:p>
          <w:p w:rsidR="00000000" w:rsidDel="00000000" w:rsidP="00000000" w:rsidRDefault="00000000" w:rsidRPr="00000000" w14:paraId="0000009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строительный контроль при строительстве объекта транспортной инфраструктуры дорожного хозяйства регионального или межмуниципального значения, местного значения, строительство, реконструкцию, капитальный ремонт которого планируется осуществлять полностью или частично за счет средств федерального бюджета, осуществляется подведомственным Минтрансу России государственным (бюджетным или автономным) учреждением в случае, если сметная стоимость такого объекта превышает 500 млн. рублей.</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sectPr>
      <w:pgSz w:h="11906" w:w="16838" w:orient="landscape"/>
      <w:pgMar w:bottom="568" w:top="709" w:left="1134" w:right="96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onsultant.ru/cons/cgi/online.cgi?req=doc&amp;rnd=R4tTKw&amp;base=LAW&amp;n=415055#d6wNY3TycAeDrEJy1" TargetMode="External"/><Relationship Id="rId11" Type="http://schemas.openxmlformats.org/officeDocument/2006/relationships/hyperlink" Target="https://static.consultant.ru/obj/file/doc/fz_250322-94578.pdf" TargetMode="External"/><Relationship Id="rId22" Type="http://schemas.openxmlformats.org/officeDocument/2006/relationships/hyperlink" Target="http://publication.pravo.gov.ru/Document/View/0001202204210013" TargetMode="External"/><Relationship Id="rId10" Type="http://schemas.openxmlformats.org/officeDocument/2006/relationships/hyperlink" Target="http://www.consultant.ru/cons/cgi/online.cgi?req=doc&amp;rnd=Zm2IMQ&amp;base=LAW&amp;n=412285#ogPwL1TA64cxLPlB1" TargetMode="External"/><Relationship Id="rId21" Type="http://schemas.openxmlformats.org/officeDocument/2006/relationships/hyperlink" Target="http://www.consultant.ru/cons/cgi/online.cgi?req=doc&amp;rnd=ewFjQ&amp;base=LAW&amp;n=415429#nyNgj3TM9D4hxDdS1" TargetMode="External"/><Relationship Id="rId13" Type="http://schemas.openxmlformats.org/officeDocument/2006/relationships/hyperlink" Target="http://publication.pravo.gov.ru/Document/View/0001202204050030" TargetMode="External"/><Relationship Id="rId12" Type="http://schemas.openxmlformats.org/officeDocument/2006/relationships/hyperlink" Target="http://www.consultant.ru/cons/cgi/online.cgi?req=doc&amp;rnd=BYKutQ&amp;base=LAW&amp;n=412699#LCozS1Tu0FaGziB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nsultant.ru/cons/cgi/online.cgi?req=doc&amp;rnd=SKbcuw&amp;base=LAW&amp;n=412444#7kK061T40q7DDTep" TargetMode="External"/><Relationship Id="rId15" Type="http://schemas.openxmlformats.org/officeDocument/2006/relationships/hyperlink" Target="http://www.consultant.ru/cons/cgi/online.cgi?req=doc&amp;rnd=Ojabw&amp;base=LAW&amp;n=413809#8aS4K2TMqXp41Qat" TargetMode="External"/><Relationship Id="rId14" Type="http://schemas.openxmlformats.org/officeDocument/2006/relationships/hyperlink" Target="https://static.consultant.ru/obj/file/doc/pr_050422-act.rtf" TargetMode="External"/><Relationship Id="rId17" Type="http://schemas.openxmlformats.org/officeDocument/2006/relationships/hyperlink" Target="https://static.consultant.ru/obj/file/doc/fz_070422-102053.pdf" TargetMode="External"/><Relationship Id="rId16" Type="http://schemas.openxmlformats.org/officeDocument/2006/relationships/hyperlink" Target="http://www.consultant.ru/cons/cgi/online.cgi?req=doc&amp;rnd=Ojabw&amp;base=LAW&amp;n=413887#Az05K2TE2D0uX08o" TargetMode="External"/><Relationship Id="rId5" Type="http://schemas.openxmlformats.org/officeDocument/2006/relationships/styles" Target="styles.xml"/><Relationship Id="rId19" Type="http://schemas.openxmlformats.org/officeDocument/2006/relationships/hyperlink" Target="https://mail.yandex.ru/?uid=1130000018911372#message/179018085187988807" TargetMode="External"/><Relationship Id="rId6" Type="http://schemas.openxmlformats.org/officeDocument/2006/relationships/hyperlink" Target="https://static.consultant.ru/obj/file/doc/mer_220322-str.rtf" TargetMode="External"/><Relationship Id="rId18" Type="http://schemas.openxmlformats.org/officeDocument/2006/relationships/hyperlink" Target="http://www.consultant.ru/cons/cgi/online.cgi?req=doc&amp;rnd=R4tTKw&amp;base=LAW&amp;n=414828#4bVFY3TwCMtSrslN" TargetMode="External"/><Relationship Id="rId7" Type="http://schemas.openxmlformats.org/officeDocument/2006/relationships/hyperlink" Target="https://static.consultant.ru/obj/file/doc/minstroj_220322-eef.rtf" TargetMode="External"/><Relationship Id="rId8" Type="http://schemas.openxmlformats.org/officeDocument/2006/relationships/hyperlink" Target="http://www.consultant.ru/cons/cgi/online.cgi?req=doc&amp;rnd=3aUimw&amp;base=LAW&amp;n=412402#TuXwz0TWWQSFn4O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