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60" w:rsidRPr="00E17F60" w:rsidRDefault="00E17F60" w:rsidP="00E17F60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E17F60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Перечень поручений по итогам совещания по вопросам развития строительной отрасли</w:t>
      </w:r>
    </w:p>
    <w:p w:rsidR="00E17F60" w:rsidRPr="00E17F60" w:rsidRDefault="00E17F60" w:rsidP="00E17F60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E17F60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Президент утвердил перечень поручений по итогам </w:t>
      </w:r>
      <w:hyperlink r:id="rId5" w:history="1">
        <w:r w:rsidRPr="00E17F60">
          <w:rPr>
            <w:rFonts w:ascii="Arial" w:eastAsia="Times New Roman" w:hAnsi="Arial" w:cs="Arial"/>
            <w:color w:val="020C22"/>
            <w:sz w:val="30"/>
            <w:szCs w:val="30"/>
            <w:lang w:eastAsia="ru-RU"/>
          </w:rPr>
          <w:t>совещания</w:t>
        </w:r>
      </w:hyperlink>
      <w:r>
        <w:rPr>
          <w:rFonts w:ascii="Arial" w:eastAsia="Times New Roman" w:hAnsi="Arial" w:cs="Arial"/>
          <w:color w:val="020C22"/>
          <w:sz w:val="30"/>
          <w:szCs w:val="30"/>
          <w:lang w:eastAsia="ru-RU"/>
        </w:rPr>
        <w:t xml:space="preserve"> </w:t>
      </w:r>
      <w:r w:rsidRPr="00E17F60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по вопросам развития строительной отрасли, состоявшегося 16 апреля 2020 года.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1. Правительству Российской Федерации при разработке мер поддержки строительной отрасли обеспечить: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утверждение льготной ипотечной программы, в рамках которой до 1 ноября 2020 г. гражданам предоставляются ипотечные кредиты на покупку жилья на первичном рынке в размере до 3 млн. рублей, в г.</w:t>
      </w:r>
      <w:r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Москве, г.</w:t>
      </w:r>
      <w:r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Санкт-Петербурге, Московской и Ленинградской областях – до 8 млн. рублей по ставке 6,5 процентов годовых на весь срок кредита;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реализацию комплекса мер, направленных на доступность банковских кредитов, в том числе путём компенсации процентных ставок по кредитам (займам), выдаваемым организациям строительной отрасли, которые сохраняют численность занятых работников и предоставили обязательства по завершению строительства многоквартирных домов, запланированных к вводу в эксплуатацию в 2020 и 2021 годах;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в) докапитализацию за счёт бюджетных ассигнований федерального бюджета публично-правовой компании «Фонд защиты прав граждан – участников долевого строительства» в объёме 30 млрд. рублей на цели </w:t>
      </w: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восстановления прав граждан – участников долевого строительства;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предоставление государственной гарантии Российской Федерации акционерному обществу «ДОМ.РФ» в объеме 50 млрд. рублей в целях обеспечения привлечения заёмных средств и приобретения стандартного жилья у организаций-застройщиков в целях его последующей реализации.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 мая 2020 г.;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рассмотрение вопроса о перераспределении в рамках национального проекта «Безопасные и качественные автомобильные дороги» и в рамках программ переселения граждан из аварийных многоквартирных домов соответствующих бюджетных ассигнований в целях опережающего достижения запланированных показателей строительства и ремонта дорог, объектов дорожной инфраструктуры и расселения аварийных многоквартирных домов.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до 18 мая 2020 г.;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е) реализацию масштабных инфраструктурных проектов, в том числе по: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развитию железнодорожной инфраструктуры Байкало-Амурской и Транссибирской железнодорожных магистралей;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строительству ближних и дальних подходов к транспортному переходу через Керченский пролив;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развитию автодорожной и железнодорожной инфраструктуры на подходах к портам Азово-Черноморского бассейна, в центральном транспортном узле, а также на Черноморском побережье России;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модернизации аэродромных комплексов, в том числе в городах Челябинск, Пермь, Хабаровск, Норильск;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развитию портовой инфраструктуры в Мурманске, Балтийском и Азово-Черноморском бассейнах, а также в Дальневосточном федеральном округе.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1 июня 2020 г., далее – 1 раз в полгода;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ж) принятие решения по увеличению до 50 процентов максимального размера аванса при исполнении ранее заключённых контрактов на осуществление работ по созданию объектов капитального строительства;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з) принятие мер по продолжению ранее запланированных работ по проектированию, строительству, реконструкции, капитальному ремонту объектов транспортной, социальной и инженерной инфраструктуры, в том числе заключению соответствующих государственных или муниципальных контрактов;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и) внедрение системы организации работы организаций строительной отрасли, в том числе функционирующих вахтовым методом, с учётом рекомендаций по снижению рисков распространения новой коронавирусной инфекции (COVID-2019) и включающей проведение экспресс-тестирования;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к) предоставление возможности государственным заказчикам не применять ряд штрафных санкций к исполнителям работ по государственным контрактам на реализацию проектов в области строительства объектов капитального строительства в случае, если их неисполнение вызвано ограничениями, связанными с мерами по противодействию распространения новой коронавирусной инфекции (COVID-2019).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 мая 2020 г.;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л) проработку вопросов: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о целесообразности установления до 1 января 2021 г. порядка использования средств компенсационных фондов саморегулируемых организаций в области строительства, проектирования и инженерных изысканий в целях поддержки своих членов;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 включении строительной отрасли в перечень отраслей российской экономики, в наибольшей степени пострадавших в условиях ухудшения ситуации в результате распространения новой коронавирусной инфекции, для оказания мер федеральной поддержки в субъектах Российской Федерации, в которых с учётом сложившейся санитарно-эпидемиологической обстановки принято решение о приостановлении строительных работ.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20 мая 2020 г.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Ответственный: Мишустин М.В.;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м) совместно с высшими должностными лицами (руководителями высших исполнительных органов государственной власти) субъектов Российской Федерации проведение в период введения мер по противодействию распространения новой коронавирусной инфекции (COVID-2019) профилактических мероприятий, направленных на безопасность труда и защиту здоровья граждан, работающих в строительной отрасли, в целях поддержки непрерывного режима их работы, в первую очередь на крупных объектах строительства.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20 мая 2020 г.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2.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с учётом ранее данных поручений обеспечить мониторинг состояния застройщиков, реализующих проекты по строительству жилья с привлечением средств участников долевого строительства, а также утвердить региональные планы мероприятий по поддержке строительной отрасли в связи с распространением новой коронавирусной инфекции (COVID-2019).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20 мая 2020 г.</w:t>
      </w:r>
    </w:p>
    <w:p w:rsidR="00E17F60" w:rsidRPr="00E17F60" w:rsidRDefault="00E17F60" w:rsidP="00E17F60">
      <w:pPr>
        <w:spacing w:after="0" w:line="390" w:lineRule="atLeast"/>
        <w:ind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17F60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5D419B" w:rsidRPr="0082661F" w:rsidRDefault="005D419B" w:rsidP="00603AC3">
      <w:pPr>
        <w:pStyle w:val="a4"/>
        <w:shd w:val="clear" w:color="auto" w:fill="FFFFFF"/>
        <w:spacing w:after="300" w:line="240" w:lineRule="auto"/>
        <w:ind w:right="300"/>
      </w:pPr>
      <w:bookmarkStart w:id="0" w:name="_GoBack"/>
      <w:bookmarkEnd w:id="0"/>
    </w:p>
    <w:sectPr w:rsidR="005D419B" w:rsidRPr="0082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5A8A"/>
    <w:multiLevelType w:val="multilevel"/>
    <w:tmpl w:val="320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EB"/>
    <w:rsid w:val="000A4E03"/>
    <w:rsid w:val="000F6A1F"/>
    <w:rsid w:val="00344E59"/>
    <w:rsid w:val="00415B04"/>
    <w:rsid w:val="00570694"/>
    <w:rsid w:val="005D419B"/>
    <w:rsid w:val="00603AC3"/>
    <w:rsid w:val="007205EB"/>
    <w:rsid w:val="00794CC4"/>
    <w:rsid w:val="007B4E2D"/>
    <w:rsid w:val="007C5971"/>
    <w:rsid w:val="0082661F"/>
    <w:rsid w:val="008334A0"/>
    <w:rsid w:val="008E1501"/>
    <w:rsid w:val="00B66BF9"/>
    <w:rsid w:val="00E17F60"/>
    <w:rsid w:val="00E82CED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5411"/>
  <w15:chartTrackingRefBased/>
  <w15:docId w15:val="{0B1B408A-6992-4A60-86DA-2A8B0B89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19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0F6A1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6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8850441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1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31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7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39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53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237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585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emlin.ru/events/president/news/63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Golubev</dc:creator>
  <cp:keywords/>
  <dc:description/>
  <cp:lastModifiedBy>RES MEDIA</cp:lastModifiedBy>
  <cp:revision>11</cp:revision>
  <dcterms:created xsi:type="dcterms:W3CDTF">2020-04-08T20:22:00Z</dcterms:created>
  <dcterms:modified xsi:type="dcterms:W3CDTF">2020-04-23T10:48:00Z</dcterms:modified>
</cp:coreProperties>
</file>