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C3" w:rsidRPr="00C941C3" w:rsidRDefault="00C941C3" w:rsidP="00C941C3">
      <w:pPr>
        <w:spacing w:before="225" w:after="300" w:line="240" w:lineRule="auto"/>
        <w:outlineLvl w:val="0"/>
        <w:rPr>
          <w:rFonts w:ascii="Verdana" w:eastAsia="Times New Roman" w:hAnsi="Verdana" w:cs="Times New Roman"/>
          <w:color w:val="2B3238"/>
          <w:spacing w:val="-15"/>
          <w:kern w:val="36"/>
          <w:sz w:val="30"/>
          <w:szCs w:val="30"/>
          <w:lang w:eastAsia="ru-RU"/>
        </w:rPr>
      </w:pPr>
      <w:r w:rsidRPr="00C941C3">
        <w:rPr>
          <w:rFonts w:ascii="Verdana" w:eastAsia="Times New Roman" w:hAnsi="Verdana" w:cs="Times New Roman"/>
          <w:color w:val="2B3238"/>
          <w:spacing w:val="-15"/>
          <w:kern w:val="36"/>
          <w:sz w:val="30"/>
          <w:szCs w:val="30"/>
          <w:lang w:eastAsia="ru-RU"/>
        </w:rPr>
        <w:t>Постановление Правительство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</w:t>
      </w:r>
    </w:p>
    <w:p w:rsidR="00C941C3" w:rsidRPr="00C941C3" w:rsidRDefault="00C941C3" w:rsidP="00C941C3">
      <w:pPr>
        <w:shd w:val="clear" w:color="auto" w:fill="6D7479"/>
        <w:spacing w:after="0" w:line="240" w:lineRule="auto"/>
        <w:rPr>
          <w:rFonts w:ascii="Verdana" w:eastAsia="Times New Roman" w:hAnsi="Verdana" w:cs="Times New Roman"/>
          <w:color w:val="D9DEE1"/>
          <w:sz w:val="18"/>
          <w:szCs w:val="18"/>
          <w:lang w:eastAsia="ru-RU"/>
        </w:rPr>
      </w:pPr>
      <w:hyperlink r:id="rId6" w:history="1">
        <w:r w:rsidRPr="00C941C3">
          <w:rPr>
            <w:rFonts w:ascii="Verdana" w:eastAsia="Times New Roman" w:hAnsi="Verdana" w:cs="Times New Roman"/>
            <w:color w:val="000000"/>
            <w:sz w:val="21"/>
            <w:szCs w:val="21"/>
            <w:bdr w:val="single" w:sz="6" w:space="0" w:color="505558" w:frame="1"/>
            <w:lang w:eastAsia="ru-RU"/>
          </w:rPr>
          <w:t>Распечатать</w:t>
        </w:r>
      </w:hyperlink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</w:tblGrid>
      <w:tr w:rsidR="00C941C3" w:rsidRPr="00C941C3" w:rsidTr="00C941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41C3" w:rsidRPr="00C941C3" w:rsidRDefault="00C941C3" w:rsidP="00C941C3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41C3" w:rsidRPr="00C941C3" w:rsidRDefault="00C941C3" w:rsidP="00C941C3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41C3" w:rsidRPr="00C941C3" w:rsidRDefault="00C941C3" w:rsidP="00C941C3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41C3" w:rsidRPr="00C941C3" w:rsidRDefault="00C941C3" w:rsidP="00C941C3">
            <w:pPr>
              <w:numPr>
                <w:ilvl w:val="0"/>
                <w:numId w:val="1"/>
              </w:numPr>
              <w:spacing w:after="0" w:line="240" w:lineRule="auto"/>
              <w:ind w:left="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41C3" w:rsidRPr="00C941C3" w:rsidRDefault="00C941C3" w:rsidP="00C941C3">
      <w:pPr>
        <w:shd w:val="clear" w:color="auto" w:fill="6D7479"/>
        <w:spacing w:after="0" w:line="240" w:lineRule="auto"/>
        <w:rPr>
          <w:rFonts w:ascii="Verdana" w:eastAsia="Times New Roman" w:hAnsi="Verdana" w:cs="Times New Roman"/>
          <w:color w:val="D9DEE1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D9DEE1"/>
          <w:sz w:val="18"/>
          <w:szCs w:val="18"/>
          <w:lang w:eastAsia="ru-RU"/>
        </w:rPr>
        <w:t>Дата публикации: </w:t>
      </w:r>
      <w:r w:rsidRPr="00C941C3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>13.06.2013</w:t>
      </w:r>
    </w:p>
    <w:p w:rsidR="00C941C3" w:rsidRPr="00C941C3" w:rsidRDefault="00C941C3" w:rsidP="00C941C3">
      <w:pPr>
        <w:shd w:val="clear" w:color="auto" w:fill="6D7479"/>
        <w:spacing w:after="0" w:line="240" w:lineRule="auto"/>
        <w:rPr>
          <w:rFonts w:ascii="Verdana" w:eastAsia="Times New Roman" w:hAnsi="Verdana" w:cs="Times New Roman"/>
          <w:color w:val="D9DEE1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D9DEE1"/>
          <w:sz w:val="18"/>
          <w:szCs w:val="18"/>
          <w:lang w:eastAsia="ru-RU"/>
        </w:rPr>
        <w:br w:type="textWrapping" w:clear="all"/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реализации подпункта "д" пункта 2 Указа Президента Российской Федерации от 7 мая 2012 г. N 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Утвердить прилагаемые: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Абзац второй пункта 1 вступает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Правила 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изменения, которые вносятся в акты Правительства Российской Федерации.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Установить, что: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Правила, утвержденные настоящим постановлением, применяются в отношении тех проектов нормативных правовых актов, проектов поправок к проектам федеральных законов и проектов решений Совета Евразийской экономической комиссии (далее - проекты актов), решение о подготовке которых принято после вступления в силу настоящего постановления;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разъяснения о применении Правил, утвержденных настоящим постановлением, дает Министерство экономического развития Российской Федерации;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regulation.gov.ru в информационно-телекоммуникационной сети "Интернет" (далее - официальный сайт);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Министерству экономического развития Российской Федерации разработать и утвердить до 1 июля 2013 г.: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форму сводного отчета о проведении оценки регулирующего воздействия проектов актов;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форму заключения об оценке регулирующего воздействия проектов актов;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методику оценки регулирующего воздействия проектов актов.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Пункт 4 вступает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8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Признать утратившими силу: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 Правительства Российской Федерации от 2 мая 2012 г. N 421 "О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2530);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постановление Правительства Российской Федерации от 5 мая 2012 г. N 448 "О внесении изменения в пункт 5 Положения об особенностях подготовки нормативных правовых актов федеральных органов исполнительной власти, устанавливающих не относящиеся к сфере </w:t>
      </w: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технического регулирования обязательные требования" (Собрание законодательства Российской Федерации, 2012, N 20, ст. 2547).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Абзац второй пункта 1, пункт 4 настоящего постановления, подпункты "б", "в" и "д" пункта 1, пункты 2, 3 и 5 изменений, утвержденных настоящим постановлением, вступают в силу с 1 июля 2013 г.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Председатель Правительства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Российской Федерации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Д.МЕДВЕДЕВ</w:t>
      </w:r>
    </w:p>
    <w:p w:rsidR="00C941C3" w:rsidRPr="00C941C3" w:rsidRDefault="00C941C3" w:rsidP="00C941C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Утверждены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постановлением Правительства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Российской Федерации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17 декабря 2012 г. N 1318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9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Правила вступают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0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ПРОВЕДЕНИЯ ФЕДЕРАЛЬНЫМИ ОРГАНАМИ ИСПОЛНИТЕЛЬНОЙ ВЛАСТИ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ОЦЕНКИ РЕГУЛИРУЮЩЕГО ВОЗДЕЙСТВИЯ ПРОЕКТОВ НОРМАТИВНЫХ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ПРАВОВЫХ АКТОВ, ПРОЕКТОВ ПОПРАВОК К ПРОЕКТАМ ФЕДЕРАЛЬНЫХ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ЗАКОНОВ И ПРОЕКТОВ РЕШЕНИЙ СОВЕТА </w:t>
      </w:r>
      <w:proofErr w:type="gramStart"/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ЕВРАЗИЙСКОЙ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ЭКОНОМИЧЕСКОЙ КОМИССИИ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I. Общие положения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Настоящие Правила определяют порядок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 (далее - проекты актов).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Оценка регулирующего воздействия проектов актов проводится федеральными органами исполнительной власти (далее - разработчики) по вопросам, предусмотренным пунктом 60(1) Регламента Правительства Российской Федерации, утвержденного постановлением Правительства Российской Федерации от 1 июня 2004 г. N 260 (далее - Регламент), а также пунктом 3(1) Правил 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13 августа 1997 г. N 1009.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Настоящие Правила не применяются в отношении проектов актов или их отдельных положений, содержащих сведения, составляющие государственную тайну, или сведения конфиденциального характера, а также проектов актов, устанавливающих требования и нормы в области использования атомной энергии и обеспечения радиационной безопасности.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во исполнение поручений Президента Российской Федерации и Правительства Российской Федерации, содержащих прямое указание на необходимость подготовки проекта акта;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по инициативе федеральных органов исполнительной власти в пределах их компетенции.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Целью оценки регулирующего воздействия проектов актов являются определение и оценка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решения, а также выявление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положений, способствующих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недопущения возникновения кризисных ситуаций и предупреждения террористических актов, а также для ликвидации их последствий федеральные органы исполнительной власти в установленной сфере деятельности могут разрабатывать проекты постановлений Правительства Российской Федерации и издавать нормативные правовые акты федеральных органов исполнительной власти.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Подготовка таких нормативных правовых актов осуществляется только во исполнение поручений Президента Российской Федерации или Председателя Правительства Российской Федерации, содержащих прямое указание на необходимость принятия такого нормативного правового акта и на конкретные правовые решения, которые должны быть им предусмотрены. Подготовка этих нормативных правовых актов может осуществляться без проведения оценки их регулирующего воздействия, предусмотренной настоящими Правилами.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Такие нормативные правовые акты подлежат применению в течение не более чем 6 месяцев со дня вступления их в силу. Повторное принятие и издание этих нормативных правовых актов не допускается.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Указанные нормативные правовые акты могут быть отменены или изменены в порядке, установленном постановлением Правительства Российской Федерации от 29 июля 2011 г. N 633 "Об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деятельности, и о внесении изменений в некоторые акты Правительства Российской Федерации".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высокая степень регулирующего воздействия - 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юридических лиц в сфере предпринимательской и иной экономической деятельности;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средняя степень регулирующего воздействия - 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лиц в сфере предпринимательской и иной экономической деятельности;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низкая степень регулирующего воздействия - проект акта не содержит положений, предусмотренных подпунктами "а" и "б" настоящего пункта, однако подлежит оценке регулирующего воздействия в соответствии с пунктом 1 настоящих Правил.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Процедура проведения оценки регулирующего воздействия состоит из следующих этапов: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размещение уведомления о подготовке проекта акта (далее - уведомление);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разработка проекта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подготовка заключения Министерства экономического развития Российской Федерации об оценке регулирующего воздействия (далее - заключение).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Разногласия, возникающие по результатам проведения оценки регулирующего воздействия проектов актов, разрешаются в порядке, предусмотренном </w:t>
      </w:r>
      <w:proofErr w:type="spell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Регламентоми</w:t>
      </w:r>
      <w:proofErr w:type="spell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Правилами подготовки нормативных правовых актов федеральных органов исполнительной власти и их государственной регистрации.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II. Размещение уведомления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Разработчик после принятия решения о подготовке проекта акта размещает уведомление на официальном сайте regulation.gov.ru в информационно-телекоммуникационной сети "Интернет" (далее - официальный сайт).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Уведомление не размещается в отношении проектов актов, подготовленных в целях реализации решений Конституционного Суда Российской Федерации.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Уведомление содержит: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вид, наименование и планируемый срок вступления в силу акта;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сведения о разработчике проекта акта;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обоснование необходимости подготовки проекта акта;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описание проблемы, на решение которой направлен предлагаемый способ регулирования;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краткое изложение цели регулирования и общую характеристику соответствующих общественных отношений;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наиболее удобный способ их представления;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з) иную информацию, относящуюся, по мнению разработчика, к сведениям о подготовке проекта акта.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О размещении уведомления разработчик извещает с указанием сведений о месте такого размещения (полный электронный адрес):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заинтересованные федеральные органы исполнительной власти;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общественный совет при разработчике (в случае его наличия);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Экспертный совет при Правительстве Российской Федерации;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иные организации, которые целесообразно, по мнению разработчика, привлечь к подготовке проекта акта.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30 дней со дня окончания срока, указанного в подпункте "ж" пункта 10 настоящих Правил.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организации, указанные в пункте 11 настоящих Правил, которые ранее извещались о размещении уведомления.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III. Разработка проекта акта, составление сводного отчета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их публичное обсуждение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В случае принятия решения о разработке проекта акта разработчик подготавливает те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оекта акта и сводный отчет.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Сводный отчет подписывается руководителем структурного подразделения федерального органа исполнительной власти, ответственного за подготовку проекта акта, и должен содержать следующие сведения: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степень регулирующего воздействия проекта акта;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анализ международного опыта в соответствующих сферах деятельности;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описание предлагаемого регулирования и иных возможных способов решения проблемы;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з) оценка соответствующих расходов (возможных поступлений) бюджетов бюджетной системы Российской Федерации;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и)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к)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л) риски решения проблемы предложенным способом регулирования и риски негативных последствий;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н) описание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п) индикативные показатели, программы мониторинга и иные способы (методы) оценки достижения заявленных целей регулирования;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р)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иные сведения, которые, по мнению разработчика, позволяют оценить обоснованность предлагаемого регулирования.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В целях организации публичного обсуждения разработчик размещает на официальном сайте проект акта и сводный отчет, проводит публичные консультации.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Проведение публичных консультаций начинается одновременно с размещением разработчиком проекта акта и сводного отчета на официальном сайте.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Разработчик извещает о начале публичных консультаций органы и организации, указанные в пункте 11 настоящих Правил. При этом в извещении указываются: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месте размещения проекта акта и сводного отчета (полный электронный адрес);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проведения публичного обсуждения, в течение которого разработчиком принимаются предложения, и наиболее удобный способ их представления.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Срок проведения публичного обсуждения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60 календарных дней - для проектов актов, содержащих положения, имеющие высокую степень регулирующего воздействия;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30 календарных дней - для проектов актов, содержащих положения, имеющие среднюю степень регулирующего воздействия;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15 календарных дней - для проектов актов, содержащих положения, имеющие низкую степень регулирующего воздействия.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Срок проведения публичного обсуждения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20. Разработчик обязан рассмотреть все предложения, поступившие в установленный срок в связи с проведением публичного обсуждения проекта акта и сводного отчета, и составить сводку предложений с указанием сведений об их учете или причинах отклонения,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которая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подписывается руководителем структурного подразделения федерального органа исполнительной власти, ответственного за подготовку проекта акта.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21. По результатам публичного обсуждения разработчик дорабатывает проект акта и сводный отчет. При этом в сводный отчет включаются: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сводка предложений, предусмотренная пунктом 20 настоящих Правил.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22.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в отношении которых не проведены публичные обсуждения, проект акта подлежит повторному размещению на официальном сайте с целью проведения публичного обсуждения в соответствии с пунктами 16 - 21 настоящих Правил.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23. Сводный отчет подлежит размещению разработчиком на официальном сайте одновременно с направлением проекта акта в Министерство экономического развития Российской Федерации для подготовки заключения.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24. По результатам рассмотрения предложений, поступивших в связи с проведением публичного обсуждения,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принятия решения об отказе в подготовке проекта акта разработчик размещает на официальном сайте соответствующее сообщение и извещает об этом органы и организации, указанные в пункте 11 настоящих Правил, которые ранее извещались о проведении публичных консультаций.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IV. Подготовка заключения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25. Доработанный по результатам публичного обсуждения проект акта направляется разработчиком в Министерство экономического развития Российской Федерации для подготовки заключения.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проекту акта разработчиком прилагается сводный отчет.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26. Заключение подготавливается со дня поступления проекта акта в Министерство экономического развития Российской Федерации в следующие сроки: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15 календарных дней - для проектов актов, содержащих положения, имеющие высокую и среднюю степень регулирующего воздействия;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10 календарных дней - для проектов актов, содержащих положения, имеющие низкую степень регулирующего воздействия.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27.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заключении делаются выводы о соблюдении федеральным органом исполнительной власти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деятельности, а также бюджетов всех уровней бюджетной системы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28. Если проект акта содержит положения, имеющие высокую или среднюю степень регулирующего воздействия, Министерство экономического развития Российской Федерации может провести публичные консультации с органами и организациями, указанными в пункте 11 настоящих Правил, в течение сроков, отведенных для подготовки заключения.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29.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если в заключении сделан вывод о том, что федеральным органом исполнительной власти при подготовке проекта акта не соблюден порядок проведения оценки регулирующего воздействия, разработчик проводит процедуры, предусмотренные пунктами 9 - 23 настоящих Правил (начиная с невыполненной процедуры), и дорабатывает проект акта по их результатам, после чего повторно направляет проект акта в Министерство экономического развития Российской Федерации для подготовки заключения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подготовки.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V. Проведение оценки регулирующего воздействия проектов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поправок на проекты федеральных законов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31. Оценка регулирующего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воздействия проектов поправок Правительства Российской Федерации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проекты федеральных законов, внесенных в Государственную Думу Федерального Собрания Российской Федерации Правительством Российской Федерации (далее - проекты поправок), проводится федеральными органами исполнительной власти в случае, если проект федерального закона и (или) проект поправок затрагивают вопросы, предусмотренные абзацем четвертым пункта 104Регламента.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32. Федеральный орган исполнительной власти, ответственный за подготовку проекта поправок, проводит публичное обсуждение проекта поправок.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этих целях федеральный орган исполнительной власти, ответственный за подготовку проекта поправок, одновременно с направлением на согласование проекта поправок в заинтересованные федеральные органы исполнительной власти размещает его на официальном сайте и проводит публичные консультации.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Разработчик извещает о начале публичных консультаций органы и организации, указанные в пункте 11 настоящих Правил. При этом в извещении указываются: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месте размещения проекта поправок (полный электронный адрес);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проведения публичного обсуждения, в течение которого федеральным органом исполнительной власти, ответственным за подготовку проектов поправок, принимаются предложения, и наиболее удобный способ их представления.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33. Срок проведения публичных обсуждений по проектам поправок не может составлять менее 10 календарных дней со дня размещения проектов поправок на официальном сайте, если иной срок не установлен Правительством Российской Федерации.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34. Федеральный орган исполнительной власти, ответственный за подготовку проекта поправок, обязан рассмотреть все предложения, поступившие в установленный срок в письменной или электронной форме в связи с проведением публичного обсуждения проекта акта, и составить сводку таких предложений с указанием сведений об их учете или причинах отклонения.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35. Проект поправок направляется федеральным органом исполнительной власти, ответственным за подготовку проекта поправок, в Министерство экономического развития Российской Федерации на заключение.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к проекту поправок прилагается сводка предложений, поступивших в рамках публичного обсуждения проекта поправок.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36. Заключение подготавливается в течение 10 календарных дней со дня поступления проекта поправок в Министерство экономического развития Российской Федерации.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37. Оценка регулирующего воздействия проектов федеральных законов, подготовленных ко второму чтению с учетом поправок, проводится при наличии оснований, предусмотренных абзацем пятым пункта 104 Регламента, федеральными органами исполнительной власти, определяемыми в соответствии с пунктом 103 Регламента, с учетом особенностей, предусмотренных настоящим разделом.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VI. Проведение оценки регулирующего воздействия проектов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решений Совета Евразийской экономической комиссии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38. Федеральными органами исполнительной власти проводится оценка регулирующего воздействия проектов решений Евразийской экономической комиссии (далее - Комиссия), предусмотренных абзацем третьим подпункта "г" пункта 3 Положения о взаимодействии федеральных органов исполнительной власти с Евразийской экономической комиссией, утвержденного постановлением Правительства Российской Федерации от 19 июня 2012 г. N 603.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39. Федеральный орган исполнительной власти, ответственный за подготовку предложений для формирования позиции Российской Стороны по проектам решений Совета Комиссии, включая внутригосударственное согласование проектов решений Совета Комиссии, в соответствующей сфере деятельности (далее - уполномоченный орган), проводит публичное обсуждение проекта решения Совета Комиссии.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этих целях уполномоченный орган размещает проект решения Совета Комиссии на официальном сайте и проводит публичные консультации.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Уполномоченный орган извещает о начале публичных консультаций органы и организации, указанные в пункте 11 настоящих Правил. При этом в извещении указываются: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месте размещения проекта решения Совета Комиссии (полный электронный адрес);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проведения публичного обсуждения, в течение которого уполномоченным органом принимаются предложения, и наиболее удобный способ их представления.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40. Срок проведения публичных обсуждений по проекту решения Совета Комиссии не может составлять менее 30 календарных дней со дня его размещения на официальном сайте.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41. Уполномоченный орган обязан рассмотреть все предложения, поступившие в установленный срок в связи с проведением публичного обсуждения проекта решения Совета Комиссии, и составить сводку предложений с указанием сведений об их учете или причинах отклонения.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42. Проект решения Совета Комиссии направляется уполномоченным органом в Министерство экономического развития Российской Федерации на заключение.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к проекту решения Совета Комиссии прилагается сводка предложений, поступивших в рамках публичного обсуждения.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43. Заключение подготавливается в течение 20 календарных дней со дня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поступления проекта решения Совета Комиссии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Министерство экономического развития Российской Федерации.</w:t>
      </w:r>
    </w:p>
    <w:p w:rsidR="00C941C3" w:rsidRPr="00C941C3" w:rsidRDefault="00C941C3" w:rsidP="00C941C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Утверждены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постановлением Правительства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Российской Федерации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17 декабря 2012 г. N 1318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ИЗМЕНЕНИЯ,</w:t>
      </w:r>
    </w:p>
    <w:p w:rsidR="00C941C3" w:rsidRPr="00C941C3" w:rsidRDefault="00C941C3" w:rsidP="00C94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941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КОТОРЫЕ ВНОСЯТСЯ В АКТЫ ПРАВИТЕЛЬСТВА РОССИЙСКОЙ ФЕДЕРАЦИИ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Регламенте Правительства Российской Федерации, утвержденном постановлением Правительства Российской Федерации от 1 июня 2004 г. N 260 (Собрание законодательства Российской Федерации, 2004, N 23, ст. 2313; 2007, N 32, ст. 4150; 2009, N 11, ст. 1302; N 19, ст. 2346; N 21, ст. 2602; 2011, N 9, ст. 1251; 2012, N 19, ст. 2419;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 41, ст. 5635; N 42, ст. 5716):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 предложении первом абзаца первого пункта 59 после слов "по проекту акта Правительства" дополнить словами ", в том числе выявленных по результатам проведения оценки регулирующего воздействия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,"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1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Подпункт "б" пункта 1 вступает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2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пункт 60(1) изложить в следующей редакции: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"60(1).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Проекты актов,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 порядке, определяемом Правительством.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Проекты актов, указанные в абзаце первом настоящего пункта, вносятся в Правительство с заключением об оценке регулирующего воздействия, подготовленным Министерством экономического развития Российской Федерации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3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Подпункт "в" пункта 1 вступает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4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абзац пятый пункта 61 изложить в следующей редакции: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"Другие проекты актов, внесенные в Правительство с отступлением от установленных настоящим Регламентом правил, а также проекты актов, в отношении которых дано заключение об оценке регулирующего воздействия, содержащее вывод о несоблюдении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 с указанием причин возврата.";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в абзаце седьмом пункта 84 слова "пунктом 60" заменить словами "пунктами 60 и 60(1)";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5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Подпункт "д" пункта 1 вступает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6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 пункт 104 дополнить абзацами следующего содержания: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"Проекты поправок Правительства к внесенным в Государственную Думу Правительством законопроектам, регулирующим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порядке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определяемом Правительством, с учетом сроков рассмотрения таких законопроектов Государственной Думой.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совершение налогового правонарушения, отношения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Правительство принимает решение о возможности проведения такой оценки. Оценка регулирующего воздействия в отношении указанных законопроектов проводится в порядке, определяемом Правительством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.".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7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Пункт 2 вступает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8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Правилах 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2010, N 21, ст. 2602; 2011, N 9, ст. 1251; N 29, ст. 4472; 2012, N 1, ст. 148;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 19, ст. 2419):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 пункте 3: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абзац седьмой признать утратившим силу;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абзаце девятом слова "либо заключения об оценке регулирующего воздействия" исключить;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абзаце четырнадцатом: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предложение первое изложить в следующей редакции: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"При наличии разногласий по проекту нормативного правового акта, в том числе выявленных по результатам проведения оценки регулирующего воздействия, предусмотренной пунктом 3(1) настоящих Правил, федеральный орган исполнительной власти, осуществляющий разработку проекта нормативного правового акта,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решения.";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предложение второе признать утратившим силу;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дополнить пунктом 3(1) следующего содержания: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"3(1).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Проекты нормативных правовых актов федеральных органов исполнительной власти,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 в порядке, установленном Правительством Российской Федерации.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Нормативные правовые акты, указанные в абзаце первом настоящего пункта, направляются на государственную регистрацию в Министерство юстиции Российской Федерации с заключением об оценке регулирующего воздействия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.".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9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Пункт 3 вступает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40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Абзац третий подпункта "г" пункта 3 Положения о взаимодействии федеральных органов исполнительной власти с Евразийской экономической комиссией, утвержденного постановлением Правительства Российской Федерации от 19 июня 2012 г. N 603 (Собрание законодательства Российской Федерации, 2012, N 26, ст. 3521), изложить в следующей редакции: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"проведение оценки регулирующего воздействия проектов решений Совета Комиссии, регулирующих отношения в области организации и осуществления контроля (надзора),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дела, в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области оценки соответствия и в области безопасности процессов производства, в порядке, определяемом Правительством Российской Федерации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;"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Положении 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19, ст. 2344; 2010, N 5, ст. 532; N 21, ст. 2602; N 41, ст. 5240; N 45, ст. 5860;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2011, N 17, ст. 2411; N 43, ст. 6079; N 46, ст. 6527; 2012, N 27, ст. 3745, 3766):</w:t>
      </w:r>
      <w:proofErr w:type="gramEnd"/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 абзаце первом пункта 1 после слова "лицензирования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,"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дополнить словами "оценки регулирующего воздействия,";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подпункт 5.2.28(60) изложить в следующей редакции: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"5.2.28(60). методика оценки регулирующего воздействия, форма сводного отчета о проведении оценки регулирующего воздействия, форма заключения об оценке регулирующего воздействия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;"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подпункт 5.3.3(1) изложить в следующей редакции: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"5.3.3(1). подготовку заключений об оценке регулирующего воздействия</w:t>
      </w: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;"</w:t>
      </w:r>
      <w:proofErr w:type="gramEnd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41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Пункт 5 вступает в силу с 1 июля 2013 года (пункт 6 данного документа).</w:t>
      </w:r>
    </w:p>
    <w:p w:rsidR="00C941C3" w:rsidRPr="00C941C3" w:rsidRDefault="00C941C3" w:rsidP="00C9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42" style="width:0;height:1.5pt" o:hralign="center" o:hrstd="t" o:hr="t" fillcolor="#a0a0a0" stroked="f"/>
        </w:pic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Подпункт "д" пункта 2 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 (Собрание законодательства Российской Федерации, 2012, N 36, ст. 4902), изложить в следующей редакции:</w:t>
      </w:r>
    </w:p>
    <w:p w:rsidR="00C941C3" w:rsidRPr="00C941C3" w:rsidRDefault="00C941C3" w:rsidP="00C941C3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941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"д) проектов нормативных правовых актов, указанных в пункте 60(1) Регламента Правительства Российской Федерации, утвержденного постановлением Правительства Российской Федерации от 1 июня 2004 г. N 260, а также в пункте 3(1) Правил 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1009;".</w:t>
      </w:r>
      <w:proofErr w:type="gramEnd"/>
    </w:p>
    <w:p w:rsidR="00950CFF" w:rsidRDefault="00950CFF">
      <w:bookmarkStart w:id="0" w:name="_GoBack"/>
      <w:bookmarkEnd w:id="0"/>
    </w:p>
    <w:sectPr w:rsidR="009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1D0"/>
    <w:multiLevelType w:val="multilevel"/>
    <w:tmpl w:val="490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1"/>
    <w:rsid w:val="00072830"/>
    <w:rsid w:val="00147B81"/>
    <w:rsid w:val="00152F9D"/>
    <w:rsid w:val="001E023F"/>
    <w:rsid w:val="00246D87"/>
    <w:rsid w:val="003315BE"/>
    <w:rsid w:val="003402B8"/>
    <w:rsid w:val="00387F94"/>
    <w:rsid w:val="00393A21"/>
    <w:rsid w:val="00460B64"/>
    <w:rsid w:val="00465E85"/>
    <w:rsid w:val="005E6D7D"/>
    <w:rsid w:val="00636786"/>
    <w:rsid w:val="00647619"/>
    <w:rsid w:val="006E0FC2"/>
    <w:rsid w:val="008437D7"/>
    <w:rsid w:val="00875985"/>
    <w:rsid w:val="00950CFF"/>
    <w:rsid w:val="009E4A25"/>
    <w:rsid w:val="009F5494"/>
    <w:rsid w:val="00AD294A"/>
    <w:rsid w:val="00B903BC"/>
    <w:rsid w:val="00C160A5"/>
    <w:rsid w:val="00C941C3"/>
    <w:rsid w:val="00D36ADA"/>
    <w:rsid w:val="00D76275"/>
    <w:rsid w:val="00DF0BB6"/>
    <w:rsid w:val="00DF7626"/>
    <w:rsid w:val="00E511F1"/>
    <w:rsid w:val="00E74AB5"/>
    <w:rsid w:val="00EB0895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3">
              <w:marLeft w:val="0"/>
              <w:marRight w:val="3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39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3D3D3"/>
            <w:bottom w:val="none" w:sz="0" w:space="0" w:color="auto"/>
            <w:right w:val="single" w:sz="6" w:space="15" w:color="D3D3D3"/>
          </w:divBdr>
          <w:divsChild>
            <w:div w:id="4543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gov.ru/articles/razdel_1/postanovlenie_pravitelstvo_rossiyskoy_federatsii_ot__17_dekabrya_2012_g_n_1318_o_poryadke_provedeniya_federalnimi_organami_ispolnitelnoy_vlasti_otsenki_reguliruyuschego_vozdeystviya_proektov_normativnih_pravovih_aktov_proektov_popravok_k_proektam_federaln.html?pr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5693</Words>
  <Characters>32453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Правительство Российской Федерации от 17 декабря 2012 г. N 1318 "О</vt:lpstr>
    </vt:vector>
  </TitlesOfParts>
  <Company/>
  <LinksUpToDate>false</LinksUpToDate>
  <CharactersWithSpaces>38070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2013-07-20T07:12:00Z</dcterms:created>
  <dcterms:modified xsi:type="dcterms:W3CDTF">2013-07-20T07:12:00Z</dcterms:modified>
</cp:coreProperties>
</file>