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14" w:rsidRDefault="00F51D14" w:rsidP="004C02C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bookmarkStart w:id="0" w:name="bookmark0"/>
    </w:p>
    <w:p w:rsidR="00A8183C" w:rsidRDefault="00A8183C" w:rsidP="004C02C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Обзор </w:t>
      </w:r>
    </w:p>
    <w:p w:rsidR="004C02CF" w:rsidRPr="00A56274" w:rsidRDefault="00E34F3E" w:rsidP="004C02C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с</w:t>
      </w:r>
      <w:r w:rsidR="00A8183C">
        <w:rPr>
          <w:rFonts w:asciiTheme="majorHAnsi" w:hAnsiTheme="majorHAnsi" w:cs="Times New Roman"/>
          <w:b/>
          <w:sz w:val="26"/>
          <w:szCs w:val="26"/>
        </w:rPr>
        <w:t>пецифики п</w:t>
      </w:r>
      <w:r w:rsidR="00F0019F" w:rsidRPr="00A56274">
        <w:rPr>
          <w:rFonts w:asciiTheme="majorHAnsi" w:hAnsiTheme="majorHAnsi" w:cs="Times New Roman"/>
          <w:b/>
          <w:sz w:val="26"/>
          <w:szCs w:val="26"/>
        </w:rPr>
        <w:t>роведения торгов</w:t>
      </w:r>
    </w:p>
    <w:p w:rsidR="00A8183C" w:rsidRDefault="00F0019F" w:rsidP="004C02C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56274">
        <w:rPr>
          <w:rFonts w:asciiTheme="majorHAnsi" w:hAnsiTheme="majorHAnsi" w:cs="Times New Roman"/>
          <w:b/>
          <w:sz w:val="26"/>
          <w:szCs w:val="26"/>
        </w:rPr>
        <w:t xml:space="preserve">в сфере </w:t>
      </w:r>
      <w:bookmarkEnd w:id="0"/>
      <w:r w:rsidR="00E60672">
        <w:rPr>
          <w:rFonts w:asciiTheme="majorHAnsi" w:hAnsiTheme="majorHAnsi" w:cs="Times New Roman"/>
          <w:b/>
          <w:sz w:val="26"/>
          <w:szCs w:val="26"/>
        </w:rPr>
        <w:t xml:space="preserve">инвестиционно-строительной деятельности: </w:t>
      </w:r>
    </w:p>
    <w:p w:rsidR="00820C49" w:rsidRPr="00A56274" w:rsidRDefault="00E60672" w:rsidP="004C02C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зарубежный и российский опыт</w:t>
      </w:r>
    </w:p>
    <w:p w:rsidR="004C02CF" w:rsidRDefault="004C02CF" w:rsidP="004C02CF">
      <w:pPr>
        <w:pStyle w:val="a4"/>
        <w:jc w:val="center"/>
        <w:rPr>
          <w:rFonts w:asciiTheme="majorHAnsi" w:hAnsiTheme="majorHAnsi" w:cs="Times New Roman"/>
          <w:sz w:val="26"/>
          <w:szCs w:val="26"/>
        </w:rPr>
      </w:pPr>
    </w:p>
    <w:p w:rsidR="00F51D14" w:rsidRPr="004C02CF" w:rsidRDefault="00F51D14" w:rsidP="004C02CF">
      <w:pPr>
        <w:pStyle w:val="a4"/>
        <w:jc w:val="center"/>
        <w:rPr>
          <w:rFonts w:asciiTheme="majorHAnsi" w:hAnsiTheme="majorHAnsi" w:cs="Times New Roman"/>
          <w:sz w:val="26"/>
          <w:szCs w:val="26"/>
        </w:rPr>
      </w:pPr>
    </w:p>
    <w:p w:rsidR="00901965" w:rsidRPr="003247F0" w:rsidRDefault="00245AF9" w:rsidP="00F51D14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</w:t>
      </w:r>
      <w:r w:rsidR="00901965" w:rsidRPr="003247F0">
        <w:rPr>
          <w:rFonts w:asciiTheme="majorHAnsi" w:hAnsiTheme="majorHAnsi" w:cs="Times New Roman"/>
          <w:b/>
          <w:sz w:val="26"/>
          <w:szCs w:val="26"/>
        </w:rPr>
        <w:t>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Международный стандарт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Style w:val="BodytextBold3"/>
          <w:rFonts w:asciiTheme="majorHAnsi" w:hAnsiTheme="majorHAnsi" w:cs="Times New Roman"/>
          <w:sz w:val="26"/>
          <w:szCs w:val="26"/>
          <w:lang w:val="en-US"/>
        </w:rPr>
        <w:t>ISO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10845-(1-8)-2010</w:t>
      </w:r>
      <w:r w:rsidRPr="004C02CF">
        <w:rPr>
          <w:rFonts w:asciiTheme="majorHAnsi" w:hAnsiTheme="majorHAnsi" w:cs="Times New Roman"/>
          <w:sz w:val="26"/>
          <w:szCs w:val="26"/>
        </w:rPr>
        <w:t xml:space="preserve"> «Закупки в строительстве», регламентируют все аспекты закупок для строительных нужд,</w:t>
      </w:r>
    </w:p>
    <w:p w:rsidR="00901965" w:rsidRDefault="00901965" w:rsidP="00901965">
      <w:pPr>
        <w:pStyle w:val="a4"/>
        <w:ind w:firstLine="567"/>
        <w:jc w:val="both"/>
        <w:rPr>
          <w:rStyle w:val="BodytextBold3"/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Стандарт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Style w:val="BodytextBold3"/>
          <w:rFonts w:asciiTheme="majorHAnsi" w:hAnsiTheme="majorHAnsi" w:cs="Times New Roman"/>
          <w:sz w:val="26"/>
          <w:szCs w:val="26"/>
          <w:lang w:val="en-US"/>
        </w:rPr>
        <w:t>ISO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10845-1:2010</w:t>
      </w:r>
      <w:r w:rsidRPr="004C02CF">
        <w:rPr>
          <w:rFonts w:asciiTheme="majorHAnsi" w:hAnsiTheme="majorHAnsi" w:cs="Times New Roman"/>
          <w:sz w:val="26"/>
          <w:szCs w:val="26"/>
        </w:rPr>
        <w:t xml:space="preserve"> состоит из восьми частей, содержащих свод правил, которые регулируют определенные процессы строительных закупок.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</w:t>
      </w:r>
    </w:p>
    <w:p w:rsidR="00901965" w:rsidRDefault="00901965" w:rsidP="00901965">
      <w:pPr>
        <w:pStyle w:val="a4"/>
        <w:ind w:firstLine="567"/>
        <w:jc w:val="both"/>
        <w:rPr>
          <w:rStyle w:val="BodytextBold3"/>
          <w:rFonts w:asciiTheme="majorHAnsi" w:hAnsiTheme="majorHAnsi" w:cs="Times New Roman"/>
          <w:sz w:val="26"/>
          <w:szCs w:val="26"/>
        </w:rPr>
      </w:pP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>Первый блок</w:t>
      </w:r>
      <w:r w:rsidRPr="004C02CF">
        <w:rPr>
          <w:rFonts w:asciiTheme="majorHAnsi" w:hAnsiTheme="majorHAnsi" w:cs="Times New Roman"/>
          <w:sz w:val="26"/>
          <w:szCs w:val="26"/>
        </w:rPr>
        <w:t xml:space="preserve"> — это методы и способы закупок, принятых на том или ином строительном предприятии, и, главное, контроль над качеством выполнения работ по закупке в сфере строительных услуг.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</w:t>
      </w:r>
    </w:p>
    <w:p w:rsidR="00901965" w:rsidRDefault="00901965" w:rsidP="00901965">
      <w:pPr>
        <w:pStyle w:val="a4"/>
        <w:ind w:firstLine="567"/>
        <w:jc w:val="both"/>
        <w:rPr>
          <w:rStyle w:val="BodytextBold3"/>
          <w:rFonts w:asciiTheme="majorHAnsi" w:hAnsiTheme="majorHAnsi" w:cs="Times New Roman"/>
          <w:sz w:val="26"/>
          <w:szCs w:val="26"/>
        </w:rPr>
      </w:pP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Второй блок — </w:t>
      </w:r>
      <w:r w:rsidRPr="004C02CF">
        <w:rPr>
          <w:rFonts w:asciiTheme="majorHAnsi" w:hAnsiTheme="majorHAnsi" w:cs="Times New Roman"/>
          <w:sz w:val="26"/>
          <w:szCs w:val="26"/>
        </w:rPr>
        <w:t xml:space="preserve">документация, необходимая при проведении закупок в сфере строительства, </w:t>
      </w:r>
      <w:r w:rsidRPr="004C02CF">
        <w:rPr>
          <w:rStyle w:val="Bodytext0"/>
          <w:rFonts w:asciiTheme="majorHAnsi" w:hAnsiTheme="majorHAnsi" w:cs="Times New Roman"/>
          <w:sz w:val="26"/>
          <w:szCs w:val="26"/>
        </w:rPr>
        <w:t>и ее грамотное оформление.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</w:t>
      </w:r>
    </w:p>
    <w:p w:rsidR="00901965" w:rsidRDefault="00901965" w:rsidP="00901965">
      <w:pPr>
        <w:pStyle w:val="a4"/>
        <w:ind w:firstLine="567"/>
        <w:jc w:val="both"/>
        <w:rPr>
          <w:rStyle w:val="BodytextBold3"/>
          <w:rFonts w:asciiTheme="majorHAnsi" w:hAnsiTheme="majorHAnsi" w:cs="Times New Roman"/>
          <w:sz w:val="26"/>
          <w:szCs w:val="26"/>
        </w:rPr>
      </w:pP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>Третий блок —</w:t>
      </w:r>
      <w:r w:rsidRPr="004C02CF">
        <w:rPr>
          <w:rStyle w:val="Bodytext0"/>
          <w:rFonts w:asciiTheme="majorHAnsi" w:hAnsiTheme="majorHAnsi" w:cs="Times New Roman"/>
          <w:sz w:val="26"/>
          <w:szCs w:val="26"/>
        </w:rPr>
        <w:t xml:space="preserve"> проведение тендера, а именно, </w:t>
      </w:r>
      <w:r w:rsidRPr="004C02CF">
        <w:rPr>
          <w:rFonts w:asciiTheme="majorHAnsi" w:hAnsiTheme="majorHAnsi" w:cs="Times New Roman"/>
          <w:sz w:val="26"/>
          <w:szCs w:val="26"/>
        </w:rPr>
        <w:t>соблюдение условий и требований.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</w:t>
      </w:r>
    </w:p>
    <w:p w:rsidR="00901965" w:rsidRDefault="00901965" w:rsidP="00901965">
      <w:pPr>
        <w:pStyle w:val="a4"/>
        <w:ind w:firstLine="567"/>
        <w:jc w:val="both"/>
        <w:rPr>
          <w:rStyle w:val="BodytextBold3"/>
          <w:rFonts w:asciiTheme="majorHAnsi" w:hAnsiTheme="majorHAnsi" w:cs="Times New Roman"/>
          <w:sz w:val="26"/>
          <w:szCs w:val="26"/>
        </w:rPr>
      </w:pP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>Четвертый блок</w:t>
      </w:r>
      <w:r w:rsidRPr="004C02CF">
        <w:rPr>
          <w:rFonts w:asciiTheme="majorHAnsi" w:hAnsiTheme="majorHAnsi" w:cs="Times New Roman"/>
          <w:sz w:val="26"/>
          <w:szCs w:val="26"/>
        </w:rPr>
        <w:t xml:space="preserve"> — процедура определения победителя в тендере и критерии оценки.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>С пятой по восьмую главу</w:t>
      </w:r>
      <w:r w:rsidRPr="004C02CF">
        <w:rPr>
          <w:rFonts w:asciiTheme="majorHAnsi" w:hAnsiTheme="majorHAnsi" w:cs="Times New Roman"/>
          <w:sz w:val="26"/>
          <w:szCs w:val="26"/>
        </w:rPr>
        <w:t xml:space="preserve"> включительно описываются все показатели эффективности, которые необходимы для принятия того или иного решения в отношении участников тендера.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Международные процедуры предполагают проведение двухэтапного конкурса (с предквалификацией).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Первый этап участники представляют технические предложения,</w:t>
      </w:r>
      <w:r w:rsidRPr="004C02CF">
        <w:rPr>
          <w:rFonts w:asciiTheme="majorHAnsi" w:hAnsiTheme="majorHAnsi" w:cs="Times New Roman"/>
          <w:sz w:val="26"/>
          <w:szCs w:val="26"/>
        </w:rPr>
        <w:t xml:space="preserve"> которое оценивается в соответствии с методом оценки, установленным для данного тендера, с присвоением баллов по качеству,</w:t>
      </w:r>
      <w:r w:rsidRPr="004C02CF">
        <w:rPr>
          <w:rStyle w:val="BodytextBold3"/>
          <w:rFonts w:asciiTheme="majorHAnsi" w:hAnsiTheme="majorHAnsi" w:cs="Times New Roman"/>
          <w:sz w:val="26"/>
          <w:szCs w:val="26"/>
        </w:rPr>
        <w:t xml:space="preserve"> на втором этапе идет оценка финансовых предложений.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При этом тендерное предложение может быть принято только, если оферент:</w:t>
      </w:r>
    </w:p>
    <w:p w:rsidR="00901965" w:rsidRPr="004C02CF" w:rsidRDefault="007516CA" w:rsidP="00901965">
      <w:pPr>
        <w:pStyle w:val="a4"/>
        <w:numPr>
          <w:ilvl w:val="0"/>
          <w:numId w:val="2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н</w:t>
      </w:r>
      <w:r w:rsidR="00901965" w:rsidRPr="004C02CF">
        <w:rPr>
          <w:rFonts w:asciiTheme="majorHAnsi" w:hAnsiTheme="majorHAnsi" w:cs="Times New Roman"/>
          <w:sz w:val="26"/>
          <w:szCs w:val="26"/>
        </w:rPr>
        <w:t>е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="00901965" w:rsidRPr="004C02CF">
        <w:rPr>
          <w:rFonts w:asciiTheme="majorHAnsi" w:hAnsiTheme="majorHAnsi" w:cs="Times New Roman"/>
          <w:sz w:val="26"/>
          <w:szCs w:val="26"/>
        </w:rPr>
        <w:t>находится под ограничениями или имеет заказчиков, которые находятся под ограничениями, препятствующими участию в закупке заказчика;</w:t>
      </w:r>
    </w:p>
    <w:p w:rsidR="00901965" w:rsidRPr="004C02CF" w:rsidRDefault="007516CA" w:rsidP="00901965">
      <w:pPr>
        <w:pStyle w:val="a4"/>
        <w:numPr>
          <w:ilvl w:val="0"/>
          <w:numId w:val="2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докажет </w:t>
      </w:r>
      <w:r w:rsidR="00901965" w:rsidRPr="004C02CF">
        <w:rPr>
          <w:rFonts w:asciiTheme="majorHAnsi" w:hAnsiTheme="majorHAnsi" w:cs="Times New Roman"/>
          <w:sz w:val="26"/>
          <w:szCs w:val="26"/>
        </w:rPr>
        <w:t>наличи</w:t>
      </w:r>
      <w:r w:rsidR="00901965">
        <w:rPr>
          <w:rFonts w:asciiTheme="majorHAnsi" w:hAnsiTheme="majorHAnsi" w:cs="Times New Roman"/>
          <w:sz w:val="26"/>
          <w:szCs w:val="26"/>
        </w:rPr>
        <w:t>е</w:t>
      </w:r>
      <w:r w:rsidR="00901965" w:rsidRPr="004C02CF">
        <w:rPr>
          <w:rFonts w:asciiTheme="majorHAnsi" w:hAnsiTheme="majorHAnsi" w:cs="Times New Roman"/>
          <w:sz w:val="26"/>
          <w:szCs w:val="26"/>
        </w:rPr>
        <w:t xml:space="preserve"> квалификации, технической компетенции, финансовых ресурсов, оборудования и других физических средств, управленческой способности, надежности, опыта и репутации, знания дела и персонала для выполнения контракта;</w:t>
      </w:r>
    </w:p>
    <w:p w:rsidR="00901965" w:rsidRPr="004C02CF" w:rsidRDefault="00901965" w:rsidP="00901965">
      <w:pPr>
        <w:pStyle w:val="a4"/>
        <w:numPr>
          <w:ilvl w:val="0"/>
          <w:numId w:val="2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имеет</w:t>
      </w:r>
      <w:r>
        <w:rPr>
          <w:rFonts w:asciiTheme="majorHAnsi" w:hAnsiTheme="majorHAnsi" w:cs="Times New Roman"/>
          <w:sz w:val="26"/>
          <w:szCs w:val="26"/>
        </w:rPr>
        <w:t xml:space="preserve"> п</w:t>
      </w:r>
      <w:r w:rsidRPr="004C02CF">
        <w:rPr>
          <w:rFonts w:asciiTheme="majorHAnsi" w:hAnsiTheme="majorHAnsi" w:cs="Times New Roman"/>
          <w:sz w:val="26"/>
          <w:szCs w:val="26"/>
        </w:rPr>
        <w:t>раво и дееспособность для заключения контракта;</w:t>
      </w:r>
    </w:p>
    <w:p w:rsidR="00901965" w:rsidRPr="004C02CF" w:rsidRDefault="00901965" w:rsidP="00901965">
      <w:pPr>
        <w:pStyle w:val="a4"/>
        <w:numPr>
          <w:ilvl w:val="0"/>
          <w:numId w:val="2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не</w:t>
      </w:r>
      <w:r w:rsidRPr="004C02CF">
        <w:rPr>
          <w:rFonts w:asciiTheme="majorHAnsi" w:hAnsiTheme="majorHAnsi" w:cs="Times New Roman"/>
          <w:sz w:val="26"/>
          <w:szCs w:val="26"/>
        </w:rPr>
        <w:tab/>
        <w:t>является неплатежеспособным, несостоятельным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 xml:space="preserve">должником, банкротом либо находящимся под ликвидацией, не имеет дел в суде, не имел временной приостановки деловой деятельности или не </w:t>
      </w:r>
      <w:r w:rsidRPr="004C02CF">
        <w:rPr>
          <w:rFonts w:asciiTheme="majorHAnsi" w:hAnsiTheme="majorHAnsi" w:cs="Times New Roman"/>
          <w:sz w:val="26"/>
          <w:szCs w:val="26"/>
        </w:rPr>
        <w:lastRenderedPageBreak/>
        <w:t>является субъектом судебных разбирательств в отношении всего вышеупомянутого;</w:t>
      </w:r>
    </w:p>
    <w:p w:rsidR="00901965" w:rsidRPr="004C02CF" w:rsidRDefault="00901965" w:rsidP="00901965">
      <w:pPr>
        <w:pStyle w:val="a4"/>
        <w:numPr>
          <w:ilvl w:val="0"/>
          <w:numId w:val="2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подчиняется</w:t>
      </w:r>
      <w:r w:rsidR="007516CA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законодательным требованиям;</w:t>
      </w:r>
    </w:p>
    <w:p w:rsidR="00901965" w:rsidRPr="004C02CF" w:rsidRDefault="00901965" w:rsidP="00901965">
      <w:pPr>
        <w:pStyle w:val="a4"/>
        <w:numPr>
          <w:ilvl w:val="0"/>
          <w:numId w:val="2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способен</w:t>
      </w:r>
      <w:r w:rsidR="007516CA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выполнить контракт без конфликтов интересов.</w:t>
      </w:r>
    </w:p>
    <w:p w:rsidR="00901965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Такая система предполагает применение третейского суда при разрешении споров на этапе проведения тендера, затраты на судопроизводство составляют 21 день, что допускает возможность реституции при нарушении прав и интересов подрядчиков.</w:t>
      </w:r>
    </w:p>
    <w:p w:rsidR="00901965" w:rsidRPr="000C22E5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901965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b/>
          <w:sz w:val="26"/>
          <w:szCs w:val="26"/>
        </w:rPr>
      </w:pPr>
      <w:r w:rsidRPr="000C22E5">
        <w:rPr>
          <w:rFonts w:asciiTheme="majorHAnsi" w:hAnsiTheme="majorHAnsi" w:cs="Times New Roman"/>
          <w:b/>
          <w:sz w:val="26"/>
          <w:szCs w:val="26"/>
        </w:rPr>
        <w:t>Можно сделать вывод, что традиционные электронные аукционы (реверсивные) не рассматриваются в качестве способа размещения закупок в строительстве в этом Международном стандарте.</w:t>
      </w:r>
    </w:p>
    <w:p w:rsidR="0030480A" w:rsidRDefault="0030480A" w:rsidP="00901965">
      <w:pPr>
        <w:pStyle w:val="a4"/>
        <w:ind w:firstLine="567"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901965" w:rsidRPr="003247F0" w:rsidRDefault="00245AF9" w:rsidP="00F51D14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2</w:t>
      </w:r>
      <w:r w:rsidR="00901965" w:rsidRPr="003247F0">
        <w:rPr>
          <w:rFonts w:asciiTheme="majorHAnsi" w:hAnsiTheme="majorHAnsi" w:cs="Times New Roman"/>
          <w:b/>
          <w:sz w:val="26"/>
          <w:szCs w:val="26"/>
        </w:rPr>
        <w:t>.</w:t>
      </w:r>
    </w:p>
    <w:p w:rsidR="00901965" w:rsidRDefault="00901965" w:rsidP="00901965">
      <w:pPr>
        <w:pStyle w:val="a4"/>
        <w:ind w:firstLine="567"/>
        <w:jc w:val="both"/>
        <w:rPr>
          <w:rStyle w:val="BodytextBold2"/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Двух этапные торги предусмотрены также в</w:t>
      </w:r>
      <w:r w:rsidRPr="004C02CF">
        <w:rPr>
          <w:rStyle w:val="BodytextBold2"/>
          <w:rFonts w:asciiTheme="majorHAnsi" w:hAnsiTheme="majorHAnsi" w:cs="Times New Roman"/>
          <w:sz w:val="26"/>
          <w:szCs w:val="26"/>
        </w:rPr>
        <w:t xml:space="preserve"> Типовом законе ЮНСИТРАЛ (ООН) о закупках товаров (работ) и услуг, квалификационные требования к участникам идентичны за исключением критерия нахождения под ограничением и отсутствия конфликтности. 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Style w:val="BodytextBold2"/>
          <w:rFonts w:asciiTheme="majorHAnsi" w:hAnsiTheme="majorHAnsi" w:cs="Times New Roman"/>
          <w:sz w:val="26"/>
          <w:szCs w:val="26"/>
        </w:rPr>
        <w:t>Однако Юнститрал не запрещает устанавливать закупающей организации любые требования, которые она считает полезными для удостоверения квалификации подрядчика.</w:t>
      </w:r>
      <w:r w:rsidRPr="004C02CF">
        <w:rPr>
          <w:rFonts w:asciiTheme="majorHAnsi" w:hAnsiTheme="majorHAnsi" w:cs="Times New Roman"/>
          <w:sz w:val="26"/>
          <w:szCs w:val="26"/>
        </w:rPr>
        <w:t xml:space="preserve"> В данном руководстве дисквалификация участника при подаче ложных сведений является обязательной, также отклонение тендерной заявки предусмотрено при подкупе со стороны участника тендера. Кроме того, закон говорит о необходимости проведения «постквалификационных процедур», проверка качественных характеристик победителя тендера при исполнении контракта.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При этом двух этапные торги, как и торги в России предусматривают этапы вскрытия конвертов и рассмотрения и оценки заявок. По аналогии с Международными стандартами цена оценивается на втором этапе подачи заявок, после оценки технического предложения.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Особенностью является то, что закупающие организации не отклоняют заявки, имеющие только формальные недостатки и мелкие ошибки.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При демпинге Типовой закон не позволяет нечестным поставщикам «откупится от демпинга».</w:t>
      </w:r>
    </w:p>
    <w:p w:rsidR="00901965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 xml:space="preserve">По мнению ЮНСИТРАЛ в среднесрочном и долгосрочном плане имеются антиконкурентные последствия при некорректном использовании электронных реверсивных аукционов, они в большей степени подвержены сговору, уязвимы в плане манипулирования ценами. </w:t>
      </w:r>
    </w:p>
    <w:p w:rsidR="00AC7909" w:rsidRDefault="003411A6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Тем не менее по самой своей природе электронные реверсивные аукционы уделяют исключительн</w:t>
      </w:r>
      <w:r w:rsidR="00007B2D">
        <w:rPr>
          <w:rFonts w:asciiTheme="majorHAnsi" w:hAnsiTheme="majorHAnsi" w:cs="Times New Roman"/>
          <w:sz w:val="26"/>
          <w:szCs w:val="26"/>
        </w:rPr>
        <w:t>ое внимание цене закупки.</w:t>
      </w:r>
      <w:r w:rsidR="00920CB0">
        <w:rPr>
          <w:rFonts w:asciiTheme="majorHAnsi" w:hAnsiTheme="majorHAnsi" w:cs="Times New Roman"/>
          <w:sz w:val="26"/>
          <w:szCs w:val="26"/>
        </w:rPr>
        <w:t xml:space="preserve"> Это означает их предназначенность для закупки именно стандартных и имеющихся в широкой продаже товаров и услуг, когда есть возможность воспользоваться высокой конкуренцией </w:t>
      </w:r>
      <w:r w:rsidR="00AC7909">
        <w:rPr>
          <w:rFonts w:asciiTheme="majorHAnsi" w:hAnsiTheme="majorHAnsi" w:cs="Times New Roman"/>
          <w:sz w:val="26"/>
          <w:szCs w:val="26"/>
        </w:rPr>
        <w:t>по ценовому фактору.</w:t>
      </w:r>
    </w:p>
    <w:p w:rsidR="003411A6" w:rsidRDefault="00AC7909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lastRenderedPageBreak/>
        <w:t>Кроме того, в среднесрочном и долгосрочном плане имеются антиконкурентные последствия при некорректном использовании электронных реверсивных аукционов, пос</w:t>
      </w:r>
      <w:r w:rsidR="00376E0B">
        <w:rPr>
          <w:rFonts w:asciiTheme="majorHAnsi" w:hAnsiTheme="majorHAnsi" w:cs="Times New Roman"/>
          <w:sz w:val="26"/>
          <w:szCs w:val="26"/>
        </w:rPr>
        <w:t xml:space="preserve">кольку, по мнению ЮНИСТРАЛ, они в большей степени, чем иные процедуры, подвержены сговору. Они </w:t>
      </w:r>
      <w:r w:rsidR="00E374C2">
        <w:rPr>
          <w:rFonts w:asciiTheme="majorHAnsi" w:hAnsiTheme="majorHAnsi" w:cs="Times New Roman"/>
          <w:sz w:val="26"/>
          <w:szCs w:val="26"/>
        </w:rPr>
        <w:t>более уязвимы в плане манипулирования ценами, оповещения о ценовых предложениях</w:t>
      </w:r>
      <w:r w:rsidR="00C13400">
        <w:rPr>
          <w:rFonts w:asciiTheme="majorHAnsi" w:hAnsiTheme="majorHAnsi" w:cs="Times New Roman"/>
          <w:sz w:val="26"/>
          <w:szCs w:val="26"/>
        </w:rPr>
        <w:t>, имитации конкуренции и иных злоупотреблений. Выходом из конфликтов плюсов и минусов является, как считает ЮНИСТРАЛ, надлежащее использование метода закупок.</w:t>
      </w:r>
      <w:r w:rsidR="00007B2D">
        <w:rPr>
          <w:rFonts w:asciiTheme="majorHAnsi" w:hAnsiTheme="majorHAnsi" w:cs="Times New Roman"/>
          <w:sz w:val="26"/>
          <w:szCs w:val="26"/>
        </w:rPr>
        <w:t xml:space="preserve">  </w:t>
      </w:r>
    </w:p>
    <w:p w:rsidR="00901965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E10BB4">
        <w:rPr>
          <w:rFonts w:asciiTheme="majorHAnsi" w:hAnsiTheme="majorHAnsi" w:cs="Times New Roman"/>
          <w:b/>
          <w:sz w:val="26"/>
          <w:szCs w:val="26"/>
        </w:rPr>
        <w:t>Сделав де-факто электронный аукцион главным и приоритетным способом закупки, 94-ФЗ опять повел Росси</w:t>
      </w:r>
      <w:r w:rsidR="003411A6">
        <w:rPr>
          <w:rFonts w:asciiTheme="majorHAnsi" w:hAnsiTheme="majorHAnsi" w:cs="Times New Roman"/>
          <w:b/>
          <w:sz w:val="26"/>
          <w:szCs w:val="26"/>
        </w:rPr>
        <w:t>ю</w:t>
      </w:r>
      <w:r w:rsidRPr="00E10BB4">
        <w:rPr>
          <w:rFonts w:asciiTheme="majorHAnsi" w:hAnsiTheme="majorHAnsi" w:cs="Times New Roman"/>
          <w:b/>
          <w:sz w:val="26"/>
          <w:szCs w:val="26"/>
        </w:rPr>
        <w:t xml:space="preserve"> своим путем. Законодательство о закупках ведущих развитых стран однозначно продвигает открытый конкурс в качестве наиболее предпочтительного способа размещения заказа.</w:t>
      </w:r>
      <w:r w:rsidRPr="004C02CF">
        <w:rPr>
          <w:rFonts w:asciiTheme="majorHAnsi" w:hAnsiTheme="majorHAnsi" w:cs="Times New Roman"/>
          <w:sz w:val="26"/>
          <w:szCs w:val="26"/>
        </w:rPr>
        <w:t xml:space="preserve"> Оно не предусматривает использования традиционного аукциона в качестве способа размещения заказа. Его нет ни в Типовом законе ЮНСИТРАЛ, ни в Директивах ЕС, ни в ПФЗ США, ни в руководствах Всемирного банка.</w:t>
      </w:r>
    </w:p>
    <w:p w:rsidR="00D1799D" w:rsidRPr="0008336F" w:rsidRDefault="00D1799D" w:rsidP="0008336F">
      <w:pPr>
        <w:pStyle w:val="a4"/>
        <w:ind w:firstLine="567"/>
        <w:jc w:val="both"/>
        <w:rPr>
          <w:rFonts w:asciiTheme="majorHAnsi" w:hAnsiTheme="majorHAnsi"/>
          <w:b/>
          <w:sz w:val="26"/>
          <w:szCs w:val="26"/>
        </w:rPr>
      </w:pPr>
      <w:r w:rsidRPr="0008336F">
        <w:rPr>
          <w:rFonts w:asciiTheme="majorHAnsi" w:hAnsiTheme="majorHAnsi"/>
          <w:sz w:val="26"/>
          <w:szCs w:val="26"/>
        </w:rPr>
        <w:t xml:space="preserve">Отец японского экономического чуда, гуру качества Эдвард Деминг, еще 50 лет тому назад требовал прекратить практику закупок, руководствуясь исключительно низкими ценами. </w:t>
      </w:r>
      <w:r w:rsidRPr="0008336F">
        <w:rPr>
          <w:rFonts w:asciiTheme="majorHAnsi" w:hAnsiTheme="majorHAnsi"/>
          <w:b/>
          <w:sz w:val="26"/>
          <w:szCs w:val="26"/>
        </w:rPr>
        <w:t>Цена не имеет смысла без оценки качества товара.</w:t>
      </w:r>
      <w:r w:rsidRPr="0008336F">
        <w:rPr>
          <w:rFonts w:asciiTheme="majorHAnsi" w:hAnsiTheme="majorHAnsi"/>
          <w:sz w:val="26"/>
          <w:szCs w:val="26"/>
        </w:rPr>
        <w:t xml:space="preserve"> Иначе ни инноваций, ни качества, ни безопасности жизни  в России никогда не будет.</w:t>
      </w:r>
    </w:p>
    <w:p w:rsidR="00901965" w:rsidRDefault="0008336F" w:rsidP="00901965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</w:t>
      </w:r>
      <w:r w:rsidR="00D1799D" w:rsidRPr="0008336F">
        <w:rPr>
          <w:rFonts w:asciiTheme="majorHAnsi" w:hAnsiTheme="majorHAnsi"/>
          <w:sz w:val="26"/>
          <w:szCs w:val="26"/>
        </w:rPr>
        <w:t xml:space="preserve"> то время, когда Россия стремится в ВТО, когда техническое регулирование в строительстве стремится к использованию Европейских нормативов и правил, основанных на применении Еврокодов, в закупках в области строительства, мы не должны останавливаться  на доказавших свою несостоятельность положениях ФЗ № 94, особенно, что касается электронных ау</w:t>
      </w:r>
      <w:r w:rsidR="00EA658F">
        <w:rPr>
          <w:rFonts w:asciiTheme="majorHAnsi" w:hAnsiTheme="majorHAnsi"/>
          <w:sz w:val="26"/>
          <w:szCs w:val="26"/>
        </w:rPr>
        <w:t>кционов в строительных торгах.</w:t>
      </w:r>
    </w:p>
    <w:p w:rsidR="00F3656A" w:rsidRDefault="00F3656A" w:rsidP="00901965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Закупки в строительстве являются комплексным мероприятием, предусматривающим несколько этапов: </w:t>
      </w:r>
      <w:r w:rsidR="00A8183C">
        <w:rPr>
          <w:rFonts w:asciiTheme="majorHAnsi" w:hAnsiTheme="majorHAnsi"/>
          <w:sz w:val="26"/>
          <w:szCs w:val="26"/>
        </w:rPr>
        <w:t xml:space="preserve">закупки </w:t>
      </w:r>
      <w:r w:rsidR="00682188">
        <w:rPr>
          <w:rFonts w:asciiTheme="majorHAnsi" w:hAnsiTheme="majorHAnsi"/>
          <w:sz w:val="26"/>
          <w:szCs w:val="26"/>
        </w:rPr>
        <w:t>и</w:t>
      </w:r>
      <w:r>
        <w:rPr>
          <w:rFonts w:asciiTheme="majorHAnsi" w:hAnsiTheme="majorHAnsi"/>
          <w:sz w:val="26"/>
          <w:szCs w:val="26"/>
        </w:rPr>
        <w:t>зыскательски</w:t>
      </w:r>
      <w:r w:rsidR="00A8183C">
        <w:rPr>
          <w:rFonts w:asciiTheme="majorHAnsi" w:hAnsiTheme="majorHAnsi"/>
          <w:sz w:val="26"/>
          <w:szCs w:val="26"/>
        </w:rPr>
        <w:t>х</w:t>
      </w:r>
      <w:r>
        <w:rPr>
          <w:rFonts w:asciiTheme="majorHAnsi" w:hAnsiTheme="majorHAnsi"/>
          <w:sz w:val="26"/>
          <w:szCs w:val="26"/>
        </w:rPr>
        <w:t xml:space="preserve"> работ,</w:t>
      </w:r>
      <w:r w:rsidR="00682188">
        <w:rPr>
          <w:rFonts w:asciiTheme="majorHAnsi" w:hAnsiTheme="majorHAnsi"/>
          <w:sz w:val="26"/>
          <w:szCs w:val="26"/>
        </w:rPr>
        <w:t xml:space="preserve"> закупки на</w:t>
      </w:r>
      <w:r>
        <w:rPr>
          <w:rFonts w:asciiTheme="majorHAnsi" w:hAnsiTheme="majorHAnsi"/>
          <w:sz w:val="26"/>
          <w:szCs w:val="26"/>
        </w:rPr>
        <w:t xml:space="preserve"> проектирование, выбор лица, ведущего строительный контроль</w:t>
      </w:r>
      <w:r w:rsidR="007539F3">
        <w:rPr>
          <w:rFonts w:asciiTheme="majorHAnsi" w:hAnsiTheme="majorHAnsi"/>
          <w:sz w:val="26"/>
          <w:szCs w:val="26"/>
        </w:rPr>
        <w:t xml:space="preserve"> </w:t>
      </w:r>
      <w:r w:rsidR="00682188">
        <w:rPr>
          <w:rFonts w:asciiTheme="majorHAnsi" w:hAnsiTheme="majorHAnsi"/>
          <w:sz w:val="26"/>
          <w:szCs w:val="26"/>
        </w:rPr>
        <w:t xml:space="preserve">со стороны заказчика </w:t>
      </w:r>
      <w:r w:rsidR="007539F3">
        <w:rPr>
          <w:rFonts w:asciiTheme="majorHAnsi" w:hAnsiTheme="majorHAnsi"/>
          <w:sz w:val="26"/>
          <w:szCs w:val="26"/>
        </w:rPr>
        <w:t>и, непосредственно, торги на строительство</w:t>
      </w:r>
      <w:r w:rsidR="00682188">
        <w:rPr>
          <w:rFonts w:asciiTheme="majorHAnsi" w:hAnsiTheme="majorHAnsi"/>
          <w:sz w:val="26"/>
          <w:szCs w:val="26"/>
        </w:rPr>
        <w:t>, реконструкцию</w:t>
      </w:r>
      <w:r w:rsidR="00813D75">
        <w:rPr>
          <w:rFonts w:asciiTheme="majorHAnsi" w:hAnsiTheme="majorHAnsi"/>
          <w:sz w:val="26"/>
          <w:szCs w:val="26"/>
        </w:rPr>
        <w:t xml:space="preserve"> и капитальный ремонт.</w:t>
      </w:r>
      <w:r w:rsidR="007539F3">
        <w:rPr>
          <w:rFonts w:asciiTheme="majorHAnsi" w:hAnsiTheme="majorHAnsi"/>
          <w:sz w:val="26"/>
          <w:szCs w:val="26"/>
        </w:rPr>
        <w:t xml:space="preserve"> </w:t>
      </w:r>
      <w:r w:rsidR="00E00958">
        <w:rPr>
          <w:rFonts w:asciiTheme="majorHAnsi" w:hAnsiTheme="majorHAnsi"/>
          <w:sz w:val="26"/>
          <w:szCs w:val="26"/>
        </w:rPr>
        <w:t>Таким образом, цена в инвестиционно-строительной отрасли</w:t>
      </w:r>
      <w:r w:rsidR="00D63A83">
        <w:rPr>
          <w:rFonts w:asciiTheme="majorHAnsi" w:hAnsiTheme="majorHAnsi"/>
          <w:sz w:val="26"/>
          <w:szCs w:val="26"/>
        </w:rPr>
        <w:t>, устанавливаемая согласно 39-ФЗ «Об инвестиционной деятельности» и градостроительного законодательства,</w:t>
      </w:r>
      <w:r w:rsidR="00E00958">
        <w:rPr>
          <w:rFonts w:asciiTheme="majorHAnsi" w:hAnsiTheme="majorHAnsi"/>
          <w:sz w:val="26"/>
          <w:szCs w:val="26"/>
        </w:rPr>
        <w:t xml:space="preserve"> не </w:t>
      </w:r>
      <w:r w:rsidR="00813D75">
        <w:rPr>
          <w:rFonts w:asciiTheme="majorHAnsi" w:hAnsiTheme="majorHAnsi"/>
          <w:sz w:val="26"/>
          <w:szCs w:val="26"/>
        </w:rPr>
        <w:t xml:space="preserve">должна являться единственным критерием </w:t>
      </w:r>
      <w:r w:rsidR="00995DD7">
        <w:rPr>
          <w:rFonts w:asciiTheme="majorHAnsi" w:hAnsiTheme="majorHAnsi"/>
          <w:sz w:val="26"/>
          <w:szCs w:val="26"/>
        </w:rPr>
        <w:t xml:space="preserve">и преобладающим фактором при выявлении победителя. </w:t>
      </w:r>
      <w:r w:rsidR="00E00958">
        <w:rPr>
          <w:rFonts w:asciiTheme="majorHAnsi" w:hAnsiTheme="majorHAnsi"/>
          <w:sz w:val="26"/>
          <w:szCs w:val="26"/>
        </w:rPr>
        <w:t xml:space="preserve"> </w:t>
      </w:r>
    </w:p>
    <w:p w:rsidR="00EA658F" w:rsidRPr="00E10BB4" w:rsidRDefault="00EA658F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901965" w:rsidRPr="003247F0" w:rsidRDefault="00245AF9" w:rsidP="00F51D14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3</w:t>
      </w:r>
      <w:r w:rsidR="00901965" w:rsidRPr="003247F0">
        <w:rPr>
          <w:rFonts w:asciiTheme="majorHAnsi" w:hAnsiTheme="majorHAnsi" w:cs="Times New Roman"/>
          <w:b/>
          <w:sz w:val="26"/>
          <w:szCs w:val="26"/>
        </w:rPr>
        <w:t>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CF5D72">
        <w:rPr>
          <w:rFonts w:asciiTheme="majorHAnsi" w:hAnsiTheme="majorHAnsi" w:cs="Times New Roman"/>
          <w:b/>
          <w:sz w:val="26"/>
          <w:szCs w:val="26"/>
        </w:rPr>
        <w:t>Типовая тендерная документация для закупок строительных работ Всемирного Банка</w:t>
      </w:r>
      <w:r w:rsidRPr="004C02CF">
        <w:rPr>
          <w:rFonts w:asciiTheme="majorHAnsi" w:hAnsiTheme="majorHAnsi" w:cs="Times New Roman"/>
          <w:sz w:val="26"/>
          <w:szCs w:val="26"/>
        </w:rPr>
        <w:t xml:space="preserve"> 1995 года разработана в форме конкурса, отличающего от проводимого в России наличием этапа - «предтендерное совещание» с целью представления разъяснений по возникающим вопросам, а также возможностью требования подробного анализа расходов по любому разделу Сметы количественных показателей при наличии дисбаланса, чрезмерных </w:t>
      </w:r>
      <w:r w:rsidRPr="004C02CF">
        <w:rPr>
          <w:rFonts w:asciiTheme="majorHAnsi" w:hAnsiTheme="majorHAnsi" w:cs="Times New Roman"/>
          <w:sz w:val="26"/>
          <w:szCs w:val="26"/>
        </w:rPr>
        <w:lastRenderedPageBreak/>
        <w:t>затрат, по сравнению с результатами оценки работ по контракту. В связи с этим заказчик имеет право потребовать увеличение гарантии исполнения обязательств.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При подготовке тендерной документации предполагается, что проведена предварительная квалификация. Проведение тендера без проведения такой квалификации допускается в исключительных случаях, по предварительному согласию с</w:t>
      </w:r>
      <w:r w:rsidRPr="004C02CF">
        <w:rPr>
          <w:rStyle w:val="BodytextBold1"/>
          <w:rFonts w:asciiTheme="majorHAnsi" w:hAnsiTheme="majorHAnsi" w:cs="Times New Roman"/>
          <w:sz w:val="26"/>
          <w:szCs w:val="26"/>
        </w:rPr>
        <w:t xml:space="preserve"> Международного банка реконструкции и развития.</w:t>
      </w: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При квалификации по общему правилу предоставляются следующие документы:</w:t>
      </w:r>
    </w:p>
    <w:p w:rsidR="00901965" w:rsidRPr="004C02CF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Учредительные</w:t>
      </w:r>
      <w:r w:rsidRPr="004C02CF">
        <w:rPr>
          <w:rFonts w:asciiTheme="majorHAnsi" w:hAnsiTheme="majorHAnsi" w:cs="Times New Roman"/>
          <w:sz w:val="26"/>
          <w:szCs w:val="26"/>
        </w:rPr>
        <w:tab/>
        <w:t>документы;</w:t>
      </w:r>
    </w:p>
    <w:p w:rsidR="00901965" w:rsidRPr="004C02CF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Данные</w:t>
      </w:r>
      <w:r w:rsidR="00CF5D72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о годовом обороте строительных работ за 5 лет;</w:t>
      </w:r>
    </w:p>
    <w:p w:rsidR="00901965" w:rsidRPr="004C02CF" w:rsidRDefault="00CF5D72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И</w:t>
      </w:r>
      <w:r w:rsidR="00901965" w:rsidRPr="004C02CF">
        <w:rPr>
          <w:rFonts w:asciiTheme="majorHAnsi" w:hAnsiTheme="majorHAnsi" w:cs="Times New Roman"/>
          <w:sz w:val="26"/>
          <w:szCs w:val="26"/>
        </w:rPr>
        <w:t>нформацию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="00901965" w:rsidRPr="004C02CF">
        <w:rPr>
          <w:rFonts w:asciiTheme="majorHAnsi" w:hAnsiTheme="majorHAnsi" w:cs="Times New Roman"/>
          <w:sz w:val="26"/>
          <w:szCs w:val="26"/>
        </w:rPr>
        <w:t>о выполнении 5 контрактов;</w:t>
      </w:r>
    </w:p>
    <w:p w:rsidR="00901965" w:rsidRPr="004C02CF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Информацию</w:t>
      </w:r>
      <w:r w:rsidR="00CF5D72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об оборудовании необходимом для выполнения контракта;</w:t>
      </w:r>
    </w:p>
    <w:p w:rsidR="00901965" w:rsidRPr="004C02CF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Данные</w:t>
      </w:r>
      <w:r w:rsidR="00CF5D72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о квалификации основного персонала, который будет привлечен к работам по контракту;</w:t>
      </w:r>
    </w:p>
    <w:p w:rsidR="00901965" w:rsidRPr="004C02CF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Предложения</w:t>
      </w:r>
      <w:r w:rsidR="00CF5D72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о субподрядчиках для выполнения работ, каждый из которых составляет более 10% от цены контракта;</w:t>
      </w:r>
    </w:p>
    <w:p w:rsidR="00901965" w:rsidRPr="004C02CF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Финансовые</w:t>
      </w:r>
      <w:r w:rsidR="00CF5D72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отчеты за</w:t>
      </w:r>
      <w:r w:rsidRPr="004C02CF">
        <w:rPr>
          <w:rStyle w:val="Bodytext2BookmanOldStyle105ptNotItalicSpacing0pt"/>
          <w:rFonts w:asciiTheme="majorHAnsi" w:hAnsiTheme="majorHAnsi" w:cs="Times New Roman"/>
          <w:sz w:val="26"/>
          <w:szCs w:val="26"/>
        </w:rPr>
        <w:t xml:space="preserve"> 5</w:t>
      </w:r>
      <w:r w:rsidRPr="004C02CF">
        <w:rPr>
          <w:rFonts w:asciiTheme="majorHAnsi" w:hAnsiTheme="majorHAnsi" w:cs="Times New Roman"/>
          <w:sz w:val="26"/>
          <w:szCs w:val="26"/>
        </w:rPr>
        <w:t xml:space="preserve"> лет (отчет прибыли и убытки, балансы, заключения аудиторов), финансовый прогноз на следующие 2 года;</w:t>
      </w:r>
    </w:p>
    <w:p w:rsidR="00901965" w:rsidRPr="004C02CF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Документы подтверждающие наличие финансовых ресурсов, в том числе доступ к кредитным линиям;</w:t>
      </w:r>
    </w:p>
    <w:p w:rsidR="00901965" w:rsidRPr="00243722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Сведения об учреждении в котором можно получить справки из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243722">
        <w:rPr>
          <w:rFonts w:asciiTheme="majorHAnsi" w:hAnsiTheme="majorHAnsi" w:cs="Times New Roman"/>
          <w:sz w:val="26"/>
          <w:szCs w:val="26"/>
        </w:rPr>
        <w:t>банков;</w:t>
      </w:r>
    </w:p>
    <w:p w:rsidR="00901965" w:rsidRPr="004C02CF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Сведения о судебных разбирательствах;</w:t>
      </w:r>
    </w:p>
    <w:p w:rsidR="00901965" w:rsidRPr="00243722" w:rsidRDefault="00901965" w:rsidP="00901965">
      <w:pPr>
        <w:pStyle w:val="a4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Предложение по методам и плану-графику проведения работ для демонстрации соответствия предложения требованиям технических спецификаций и возможности завершения работы в срок.</w:t>
      </w:r>
    </w:p>
    <w:p w:rsidR="00901965" w:rsidRPr="004C02CF" w:rsidRDefault="00901965" w:rsidP="00901965">
      <w:pPr>
        <w:pStyle w:val="a4"/>
        <w:ind w:left="567"/>
        <w:jc w:val="both"/>
        <w:rPr>
          <w:rFonts w:asciiTheme="majorHAnsi" w:hAnsiTheme="majorHAnsi" w:cs="Times New Roman"/>
          <w:sz w:val="26"/>
          <w:szCs w:val="26"/>
        </w:rPr>
      </w:pPr>
    </w:p>
    <w:p w:rsidR="00901965" w:rsidRPr="004C02CF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bookmarkStart w:id="1" w:name="bookmark1"/>
      <w:r w:rsidRPr="004C02CF">
        <w:rPr>
          <w:rFonts w:asciiTheme="majorHAnsi" w:hAnsiTheme="majorHAnsi" w:cs="Times New Roman"/>
          <w:sz w:val="26"/>
          <w:szCs w:val="26"/>
        </w:rPr>
        <w:t>В отношении Контракта конкретного тендера предъявляются требования к минимальным требованиям квалификации:</w:t>
      </w:r>
      <w:bookmarkEnd w:id="1"/>
    </w:p>
    <w:p w:rsidR="00901965" w:rsidRPr="004C02CF" w:rsidRDefault="00901965" w:rsidP="00901965">
      <w:pPr>
        <w:pStyle w:val="a4"/>
        <w:numPr>
          <w:ilvl w:val="0"/>
          <w:numId w:val="4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Годовой оборот строительных работ, эквивалентный стоимости контракта;</w:t>
      </w:r>
    </w:p>
    <w:p w:rsidR="00901965" w:rsidRPr="004C02CF" w:rsidRDefault="00901965" w:rsidP="00901965">
      <w:pPr>
        <w:pStyle w:val="a4"/>
        <w:numPr>
          <w:ilvl w:val="0"/>
          <w:numId w:val="4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Опыт успешной работы по исполнению за последние 5 лет проекта характер и сложность, которого сравнимы с Работами контракта Тендера;</w:t>
      </w:r>
    </w:p>
    <w:p w:rsidR="00901965" w:rsidRPr="004C02CF" w:rsidRDefault="00901965" w:rsidP="00901965">
      <w:pPr>
        <w:pStyle w:val="a4"/>
        <w:numPr>
          <w:ilvl w:val="0"/>
          <w:numId w:val="4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Наличие</w:t>
      </w:r>
      <w:r w:rsidRPr="004C02CF">
        <w:rPr>
          <w:rFonts w:asciiTheme="majorHAnsi" w:hAnsiTheme="majorHAnsi" w:cs="Times New Roman"/>
          <w:sz w:val="26"/>
          <w:szCs w:val="26"/>
        </w:rPr>
        <w:tab/>
        <w:t>предложений по своевременному приобретению следующих основных видов оборудования используемого при исполнении Работ контракта Тендера;</w:t>
      </w:r>
    </w:p>
    <w:p w:rsidR="00901965" w:rsidRPr="004C02CF" w:rsidRDefault="00901965" w:rsidP="00901965">
      <w:pPr>
        <w:pStyle w:val="a4"/>
        <w:numPr>
          <w:ilvl w:val="0"/>
          <w:numId w:val="4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Руководитель</w:t>
      </w:r>
      <w:r w:rsidR="00CF5D72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проекта должен иметь десятилетний опыт выполнения работ подобного характера и уровня сложности, включая опыт работы не менее пяти лет в качестве руководителя;</w:t>
      </w:r>
    </w:p>
    <w:p w:rsidR="00901965" w:rsidRDefault="00901965" w:rsidP="00901965">
      <w:pPr>
        <w:pStyle w:val="a4"/>
        <w:numPr>
          <w:ilvl w:val="0"/>
          <w:numId w:val="4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lastRenderedPageBreak/>
        <w:t>Оборотные средства в размере эквивалентном не менее определенной</w:t>
      </w:r>
      <w:r>
        <w:rPr>
          <w:rFonts w:asciiTheme="majorHAnsi" w:hAnsiTheme="majorHAnsi" w:cs="Times New Roman"/>
          <w:sz w:val="26"/>
          <w:szCs w:val="26"/>
        </w:rPr>
        <w:t xml:space="preserve"> суммы</w:t>
      </w:r>
    </w:p>
    <w:p w:rsidR="00EE56E8" w:rsidRPr="003247F0" w:rsidRDefault="00245AF9" w:rsidP="00F51D14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4</w:t>
      </w:r>
      <w:r w:rsidR="00EE56E8" w:rsidRPr="003247F0">
        <w:rPr>
          <w:rFonts w:asciiTheme="majorHAnsi" w:hAnsiTheme="majorHAnsi" w:cs="Times New Roman"/>
          <w:b/>
          <w:sz w:val="26"/>
          <w:szCs w:val="26"/>
        </w:rPr>
        <w:t>.</w:t>
      </w:r>
    </w:p>
    <w:p w:rsidR="00EE56E8" w:rsidRPr="00635134" w:rsidRDefault="00EE56E8" w:rsidP="00E34F3E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635134">
        <w:rPr>
          <w:rFonts w:asciiTheme="majorHAnsi" w:hAnsiTheme="majorHAnsi" w:cs="Times New Roman"/>
          <w:b/>
          <w:sz w:val="26"/>
          <w:szCs w:val="26"/>
        </w:rPr>
        <w:t xml:space="preserve">Проведение торгов в Германии </w:t>
      </w:r>
    </w:p>
    <w:p w:rsidR="00EE56E8" w:rsidRPr="00635134" w:rsidRDefault="00EE56E8" w:rsidP="00E34F3E">
      <w:pPr>
        <w:pStyle w:val="a4"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(</w:t>
      </w:r>
      <w:r w:rsidRPr="00635134">
        <w:rPr>
          <w:rFonts w:asciiTheme="majorHAnsi" w:hAnsiTheme="majorHAnsi" w:cs="Times New Roman"/>
          <w:sz w:val="26"/>
          <w:szCs w:val="26"/>
        </w:rPr>
        <w:t>Немецкая комиссия по размещению заказов и заключению договоров строительного подряда (</w:t>
      </w:r>
      <w:r w:rsidRPr="00635134">
        <w:rPr>
          <w:rFonts w:asciiTheme="majorHAnsi" w:hAnsiTheme="majorHAnsi" w:cs="Times New Roman"/>
          <w:sz w:val="26"/>
          <w:szCs w:val="26"/>
          <w:lang w:val="en-US"/>
        </w:rPr>
        <w:t>VOB</w:t>
      </w:r>
      <w:r w:rsidRPr="00635134">
        <w:rPr>
          <w:rFonts w:asciiTheme="majorHAnsi" w:hAnsiTheme="majorHAnsi" w:cs="Times New Roman"/>
          <w:sz w:val="26"/>
          <w:szCs w:val="26"/>
        </w:rPr>
        <w:t>).</w:t>
      </w:r>
    </w:p>
    <w:p w:rsidR="00EE56E8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635134">
        <w:rPr>
          <w:rFonts w:asciiTheme="majorHAnsi" w:hAnsiTheme="majorHAnsi" w:cs="Times New Roman"/>
          <w:sz w:val="26"/>
          <w:szCs w:val="26"/>
        </w:rPr>
        <w:t>Так в странах-членах ЕС для опубликования объявлений о размещении</w:t>
      </w:r>
      <w:r w:rsidRPr="004C02CF">
        <w:rPr>
          <w:rFonts w:asciiTheme="majorHAnsi" w:hAnsiTheme="majorHAnsi" w:cs="Times New Roman"/>
          <w:sz w:val="26"/>
          <w:szCs w:val="26"/>
        </w:rPr>
        <w:t xml:space="preserve"> заказов действуют стандартные формуляры, введенные в действие на основании Регламента ЕС. Обеспечен доступ к признанию доказательств критериев пригодности, не зависящих от заказа в перечень предварительно отобранных строительных организаций «Объединени</w:t>
      </w:r>
      <w:r w:rsidR="00245AF9">
        <w:rPr>
          <w:rFonts w:asciiTheme="majorHAnsi" w:hAnsiTheme="majorHAnsi" w:cs="Times New Roman"/>
          <w:sz w:val="26"/>
          <w:szCs w:val="26"/>
        </w:rPr>
        <w:t>е</w:t>
      </w:r>
      <w:r w:rsidRPr="004C02CF">
        <w:rPr>
          <w:rFonts w:asciiTheme="majorHAnsi" w:hAnsiTheme="majorHAnsi" w:cs="Times New Roman"/>
          <w:sz w:val="26"/>
          <w:szCs w:val="26"/>
        </w:rPr>
        <w:t xml:space="preserve"> по предварительному отбору строительных организаций». </w:t>
      </w:r>
    </w:p>
    <w:p w:rsidR="00EE56E8" w:rsidRPr="004C02CF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Такой перечень является федеральным, подтверждает регистрацию компании, компетентность на выполнение определенных работ и услуг, наличие письменных обязательств (о не проведении незаконных работ, выплаты минимальной заработной платы, о не занесении предприятия в земельный реестр коррумпированных предприятий, о привлечении субподрядных организаций включенных также в указанный перечень</w:t>
      </w:r>
      <w:r w:rsidR="00245AF9">
        <w:rPr>
          <w:rFonts w:asciiTheme="majorHAnsi" w:hAnsiTheme="majorHAnsi" w:cs="Times New Roman"/>
          <w:sz w:val="26"/>
          <w:szCs w:val="26"/>
        </w:rPr>
        <w:t>).</w:t>
      </w:r>
    </w:p>
    <w:p w:rsidR="00EE56E8" w:rsidRPr="00882FDD" w:rsidRDefault="00EE56E8" w:rsidP="00EE56E8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882FDD">
        <w:rPr>
          <w:rFonts w:asciiTheme="majorHAnsi" w:hAnsiTheme="majorHAnsi"/>
          <w:sz w:val="26"/>
          <w:szCs w:val="26"/>
        </w:rPr>
        <w:t xml:space="preserve">Конкурсная документация состоит из технических условий, которые оформляются на основании стандартных технических условий на виды работ, </w:t>
      </w:r>
      <w:r w:rsidRPr="00882FDD">
        <w:rPr>
          <w:rStyle w:val="Bodytext145ptScaling701"/>
          <w:rFonts w:asciiTheme="majorHAnsi" w:eastAsia="Arial Unicode MS" w:hAnsiTheme="majorHAnsi" w:cs="Arial Unicode MS"/>
          <w:spacing w:val="0"/>
          <w:w w:val="100"/>
          <w:sz w:val="26"/>
          <w:szCs w:val="26"/>
        </w:rPr>
        <w:t xml:space="preserve">к примеру, ATV DIN 18356 «Паркетные работы», ATV DIN 18456 «Работы по </w:t>
      </w:r>
      <w:r w:rsidRPr="00882FDD">
        <w:rPr>
          <w:rFonts w:asciiTheme="majorHAnsi" w:hAnsiTheme="majorHAnsi"/>
          <w:sz w:val="26"/>
          <w:szCs w:val="26"/>
        </w:rPr>
        <w:t>сносу и демонтажу», порядка передачи заказов и заключения договоров строительного подряда.</w:t>
      </w:r>
    </w:p>
    <w:p w:rsidR="00EE56E8" w:rsidRPr="004C02CF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Тендеры проводятся в виде конкурсов публичного и ограниченного характера. Строительные работы при подготовке конкурсной документации по отраслям должны быть разделены на отдельные лоты.</w:t>
      </w:r>
    </w:p>
    <w:p w:rsidR="00EE56E8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 xml:space="preserve">Конкурсы проводятся со </w:t>
      </w:r>
      <w:r w:rsidRPr="00270DA7">
        <w:rPr>
          <w:rFonts w:asciiTheme="majorHAnsi" w:hAnsiTheme="majorHAnsi" w:cs="Times New Roman"/>
          <w:b/>
          <w:sz w:val="26"/>
          <w:szCs w:val="26"/>
        </w:rPr>
        <w:t xml:space="preserve">снижением цены или по паушальной цене </w:t>
      </w:r>
      <w:r w:rsidRPr="004C02CF">
        <w:rPr>
          <w:rFonts w:asciiTheme="majorHAnsi" w:hAnsiTheme="majorHAnsi" w:cs="Times New Roman"/>
          <w:sz w:val="26"/>
          <w:szCs w:val="26"/>
        </w:rPr>
        <w:t>(твердой), которая применяется без изменения.</w:t>
      </w:r>
    </w:p>
    <w:p w:rsidR="00EE56E8" w:rsidRPr="00882FDD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EE56E8" w:rsidRPr="004C02CF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В Конкурсной документации основными требованиями являются следующие:</w:t>
      </w:r>
    </w:p>
    <w:p w:rsidR="00EE56E8" w:rsidRPr="004C02CF" w:rsidRDefault="00EE56E8" w:rsidP="00EE56E8">
      <w:pPr>
        <w:pStyle w:val="a4"/>
        <w:numPr>
          <w:ilvl w:val="0"/>
          <w:numId w:val="5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Регистрация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в реестре по предварительному отбору;</w:t>
      </w:r>
    </w:p>
    <w:p w:rsidR="00EE56E8" w:rsidRPr="004C02CF" w:rsidRDefault="00EE56E8" w:rsidP="00EE56E8">
      <w:pPr>
        <w:pStyle w:val="a4"/>
        <w:numPr>
          <w:ilvl w:val="0"/>
          <w:numId w:val="5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Наличие </w:t>
      </w:r>
      <w:r w:rsidRPr="004C02CF">
        <w:rPr>
          <w:rFonts w:asciiTheme="majorHAnsi" w:hAnsiTheme="majorHAnsi" w:cs="Times New Roman"/>
          <w:sz w:val="26"/>
          <w:szCs w:val="26"/>
        </w:rPr>
        <w:t>технического персонала для руководства и надзора;</w:t>
      </w:r>
    </w:p>
    <w:p w:rsidR="00EE56E8" w:rsidRPr="004C02CF" w:rsidRDefault="00EE56E8" w:rsidP="00EE56E8">
      <w:pPr>
        <w:pStyle w:val="a4"/>
        <w:numPr>
          <w:ilvl w:val="0"/>
          <w:numId w:val="5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Наличие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технического оборудования;</w:t>
      </w:r>
    </w:p>
    <w:p w:rsidR="00EE56E8" w:rsidRPr="004C02CF" w:rsidRDefault="00EE56E8" w:rsidP="00EE56E8">
      <w:pPr>
        <w:pStyle w:val="a4"/>
        <w:numPr>
          <w:ilvl w:val="0"/>
          <w:numId w:val="5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Количество </w:t>
      </w:r>
      <w:r w:rsidRPr="004C02CF">
        <w:rPr>
          <w:rFonts w:asciiTheme="majorHAnsi" w:hAnsiTheme="majorHAnsi" w:cs="Times New Roman"/>
          <w:sz w:val="26"/>
          <w:szCs w:val="26"/>
        </w:rPr>
        <w:t>среднегодично занятых в последние три года рабочих сил, разделенным по профессиональным группам;</w:t>
      </w:r>
    </w:p>
    <w:p w:rsidR="00EE56E8" w:rsidRPr="004C02CF" w:rsidRDefault="00EE56E8" w:rsidP="00EE56E8">
      <w:pPr>
        <w:pStyle w:val="a4"/>
        <w:numPr>
          <w:ilvl w:val="0"/>
          <w:numId w:val="5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Оборот предприятия за последние три года по строительным работам.</w:t>
      </w:r>
    </w:p>
    <w:p w:rsidR="00EE56E8" w:rsidRPr="004C02CF" w:rsidRDefault="00EE56E8" w:rsidP="00EE56E8">
      <w:pPr>
        <w:pStyle w:val="a4"/>
        <w:numPr>
          <w:ilvl w:val="0"/>
          <w:numId w:val="5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Наличие </w:t>
      </w:r>
      <w:r w:rsidRPr="004C02CF">
        <w:rPr>
          <w:rFonts w:asciiTheme="majorHAnsi" w:hAnsiTheme="majorHAnsi" w:cs="Times New Roman"/>
          <w:sz w:val="26"/>
          <w:szCs w:val="26"/>
        </w:rPr>
        <w:t>дополнительных свидетельств. К примеру, разрешение на проведение работ,</w:t>
      </w:r>
    </w:p>
    <w:p w:rsidR="00EE56E8" w:rsidRPr="002811EF" w:rsidRDefault="00EE56E8" w:rsidP="00EE56E8">
      <w:pPr>
        <w:pStyle w:val="a4"/>
        <w:numPr>
          <w:ilvl w:val="0"/>
          <w:numId w:val="5"/>
        </w:numPr>
        <w:ind w:left="0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Показатели</w:t>
      </w:r>
      <w:r w:rsidRPr="004C02CF">
        <w:rPr>
          <w:rFonts w:asciiTheme="majorHAnsi" w:hAnsiTheme="majorHAnsi" w:cs="Times New Roman"/>
          <w:sz w:val="26"/>
          <w:szCs w:val="26"/>
        </w:rPr>
        <w:tab/>
        <w:t>экономическ</w:t>
      </w:r>
      <w:r>
        <w:rPr>
          <w:rFonts w:asciiTheme="majorHAnsi" w:hAnsiTheme="majorHAnsi" w:cs="Times New Roman"/>
          <w:sz w:val="26"/>
          <w:szCs w:val="26"/>
        </w:rPr>
        <w:t>ой и финансовой состоятельности</w:t>
      </w:r>
    </w:p>
    <w:p w:rsidR="00EE56E8" w:rsidRPr="004C02CF" w:rsidRDefault="00EE56E8" w:rsidP="00EE56E8">
      <w:pPr>
        <w:pStyle w:val="a4"/>
        <w:ind w:left="567"/>
        <w:jc w:val="both"/>
        <w:rPr>
          <w:rFonts w:asciiTheme="majorHAnsi" w:hAnsiTheme="majorHAnsi" w:cs="Times New Roman"/>
          <w:sz w:val="26"/>
          <w:szCs w:val="26"/>
        </w:rPr>
      </w:pPr>
    </w:p>
    <w:p w:rsidR="00EE56E8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 xml:space="preserve">Основания недопуска идентичны Российскому законодательству, в том числе отсутствие регистрации в реестре, в случае подачи ложной </w:t>
      </w:r>
      <w:r w:rsidRPr="004C02CF">
        <w:rPr>
          <w:rFonts w:asciiTheme="majorHAnsi" w:hAnsiTheme="majorHAnsi" w:cs="Times New Roman"/>
          <w:sz w:val="26"/>
          <w:szCs w:val="26"/>
        </w:rPr>
        <w:lastRenderedPageBreak/>
        <w:t>информации в отношении профессионализма, производственных мощностей, надежности и др.</w:t>
      </w:r>
    </w:p>
    <w:p w:rsidR="00EE56E8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EE56E8" w:rsidRPr="003247F0" w:rsidRDefault="00245AF9" w:rsidP="00E34F3E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5</w:t>
      </w:r>
      <w:r w:rsidR="00EE56E8" w:rsidRPr="003247F0">
        <w:rPr>
          <w:rFonts w:asciiTheme="majorHAnsi" w:hAnsiTheme="majorHAnsi" w:cs="Times New Roman"/>
          <w:b/>
          <w:sz w:val="26"/>
          <w:szCs w:val="26"/>
        </w:rPr>
        <w:t>.</w:t>
      </w:r>
    </w:p>
    <w:p w:rsidR="00EE56E8" w:rsidRPr="00A04D11" w:rsidRDefault="00EE56E8" w:rsidP="00E34F3E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04D11">
        <w:rPr>
          <w:rFonts w:asciiTheme="majorHAnsi" w:hAnsiTheme="majorHAnsi" w:cs="Times New Roman"/>
          <w:b/>
          <w:sz w:val="26"/>
          <w:szCs w:val="26"/>
        </w:rPr>
        <w:t>Проведение торгов в Японии</w:t>
      </w:r>
    </w:p>
    <w:p w:rsidR="00EE56E8" w:rsidRPr="004C02CF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 xml:space="preserve">В Японии предквалификацией называется аудиторская проверка управления, при которой авторизованные подрядчики в строительной индустрии проходят комплексную проверку или оценку качества управления. Оценка качества управления проводится </w:t>
      </w:r>
      <w:r w:rsidR="00270DA7">
        <w:rPr>
          <w:rFonts w:asciiTheme="majorHAnsi" w:hAnsiTheme="majorHAnsi" w:cs="Times New Roman"/>
          <w:sz w:val="26"/>
          <w:szCs w:val="26"/>
        </w:rPr>
        <w:t xml:space="preserve">также </w:t>
      </w:r>
      <w:r w:rsidRPr="004C02CF">
        <w:rPr>
          <w:rFonts w:asciiTheme="majorHAnsi" w:hAnsiTheme="majorHAnsi" w:cs="Times New Roman"/>
          <w:sz w:val="26"/>
          <w:szCs w:val="26"/>
        </w:rPr>
        <w:t>административным органом, который лицензируют деятельность подрядчика (Министерство земли, инфраструктуры и транспорта или губернатором префектуры). В рамках такой оценки проверяется бухгалтерская документация и отчетность, определяется объем выполненных работ, собственных средств, благосостояние работников (участие в программах, степень содействия мероприятиям, направленным на предупреждение стихийных бедствий, степень соблюдения законов, состояние научно-исследовательской и опытно- конструкторской деятельности. За проведение такой оценки установлена комиссия.</w:t>
      </w:r>
    </w:p>
    <w:p w:rsidR="00EE56E8" w:rsidRDefault="00EE56E8" w:rsidP="00EE56E8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Результаты проверки оформляются письменным свидетельством о результатах оценки структуры управления.</w:t>
      </w:r>
    </w:p>
    <w:p w:rsidR="00901965" w:rsidRDefault="00901965" w:rsidP="00901965">
      <w:pPr>
        <w:pStyle w:val="a4"/>
        <w:ind w:firstLine="567"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4C02CF" w:rsidRPr="00A56274" w:rsidRDefault="00270DA7" w:rsidP="00E34F3E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6</w:t>
      </w:r>
      <w:r w:rsidR="00F0019F" w:rsidRPr="00A56274">
        <w:rPr>
          <w:rFonts w:asciiTheme="majorHAnsi" w:hAnsiTheme="majorHAnsi" w:cs="Times New Roman"/>
          <w:b/>
          <w:sz w:val="26"/>
          <w:szCs w:val="26"/>
        </w:rPr>
        <w:t>.</w:t>
      </w: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270DA7">
        <w:rPr>
          <w:rFonts w:asciiTheme="majorHAnsi" w:hAnsiTheme="majorHAnsi" w:cs="Times New Roman"/>
          <w:b/>
          <w:sz w:val="26"/>
          <w:szCs w:val="26"/>
        </w:rPr>
        <w:t>Рабочая группа промышленных компаний</w:t>
      </w:r>
      <w:r w:rsidRPr="004C02CF">
        <w:rPr>
          <w:rFonts w:asciiTheme="majorHAnsi" w:hAnsiTheme="majorHAnsi" w:cs="Times New Roman"/>
          <w:sz w:val="26"/>
          <w:szCs w:val="26"/>
        </w:rPr>
        <w:t xml:space="preserve"> (</w:t>
      </w:r>
      <w:r w:rsidRPr="004C02CF">
        <w:rPr>
          <w:rFonts w:asciiTheme="majorHAnsi" w:hAnsiTheme="majorHAnsi" w:cs="Times New Roman"/>
          <w:sz w:val="26"/>
          <w:szCs w:val="26"/>
          <w:lang w:val="en-US"/>
        </w:rPr>
        <w:t>industrial</w:t>
      </w:r>
      <w:r w:rsidRPr="004C02CF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  <w:lang w:val="en-US"/>
        </w:rPr>
        <w:t>cjmpanies</w:t>
      </w:r>
      <w:r w:rsidRPr="004C02CF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  <w:lang w:val="en-US"/>
        </w:rPr>
        <w:t>Working</w:t>
      </w:r>
      <w:r w:rsidRPr="004C02CF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  <w:lang w:val="en-US"/>
        </w:rPr>
        <w:t>Group</w:t>
      </w:r>
      <w:r w:rsidRPr="004C02CF">
        <w:rPr>
          <w:rFonts w:asciiTheme="majorHAnsi" w:hAnsiTheme="majorHAnsi" w:cs="Times New Roman"/>
          <w:sz w:val="26"/>
          <w:szCs w:val="26"/>
        </w:rPr>
        <w:t xml:space="preserve">) - </w:t>
      </w:r>
      <w:r w:rsidRPr="00270DA7">
        <w:rPr>
          <w:rFonts w:asciiTheme="majorHAnsi" w:hAnsiTheme="majorHAnsi" w:cs="Times New Roman"/>
          <w:b/>
          <w:sz w:val="26"/>
          <w:szCs w:val="26"/>
        </w:rPr>
        <w:t>уникальная инициатива</w:t>
      </w:r>
      <w:r w:rsidRPr="004C02CF">
        <w:rPr>
          <w:rFonts w:asciiTheme="majorHAnsi" w:hAnsiTheme="majorHAnsi" w:cs="Times New Roman"/>
          <w:sz w:val="26"/>
          <w:szCs w:val="26"/>
        </w:rPr>
        <w:t xml:space="preserve"> Международного форума лидеров бизнеса, которая объединила усилия представителей частного, государственного и некоммерческого секторов для совершенствования процесса государственных закупок, в том в контрактной системе.</w:t>
      </w: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Отмечают наличие несовершенств при проведении аукционов в виде технических сбоев, разглашению сведений об участниках аукциона, блокировка доступа участников, наличие картельных сговоров.</w:t>
      </w: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Представители предлагают заказчикам вводить элементарные индикаторы риска</w:t>
      </w:r>
      <w:r w:rsidR="00FD2034">
        <w:rPr>
          <w:rFonts w:asciiTheme="majorHAnsi" w:hAnsiTheme="majorHAnsi" w:cs="Times New Roman"/>
          <w:sz w:val="26"/>
          <w:szCs w:val="26"/>
        </w:rPr>
        <w:t>,</w:t>
      </w:r>
      <w:r w:rsidRPr="004C02CF">
        <w:rPr>
          <w:rFonts w:asciiTheme="majorHAnsi" w:hAnsiTheme="majorHAnsi" w:cs="Times New Roman"/>
          <w:sz w:val="26"/>
          <w:szCs w:val="26"/>
        </w:rPr>
        <w:t xml:space="preserve"> позволяющие определить реальность компании или компанию-однодневку, отсутствие адекватной поверки поставщика.</w:t>
      </w: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A56274">
        <w:rPr>
          <w:rFonts w:asciiTheme="majorHAnsi" w:hAnsiTheme="majorHAnsi" w:cs="Times New Roman"/>
          <w:sz w:val="26"/>
          <w:szCs w:val="26"/>
        </w:rPr>
        <w:t>Предлагают ввести процесс «Предквалификация поставщиков», анализ рынка для определения конкурентной среды, наличие опыта,</w:t>
      </w:r>
      <w:r w:rsidRPr="004C02CF">
        <w:rPr>
          <w:rFonts w:asciiTheme="majorHAnsi" w:hAnsiTheme="majorHAnsi" w:cs="Times New Roman"/>
          <w:sz w:val="26"/>
          <w:szCs w:val="26"/>
        </w:rPr>
        <w:t xml:space="preserve"> производственной мощности, специфичных для производства необходимых материалов знании. В ходе идет проверка репутации, регистрации, оцениваются коррупционные риски и стандарты ведения бизнеса.</w:t>
      </w: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Можно провести аналогию предварительного отбора.</w:t>
      </w:r>
    </w:p>
    <w:p w:rsidR="00820C49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Потом проводится</w:t>
      </w:r>
      <w:r w:rsidRPr="004C02CF">
        <w:rPr>
          <w:rStyle w:val="BodytextBold"/>
          <w:rFonts w:asciiTheme="majorHAnsi" w:hAnsiTheme="majorHAnsi" w:cs="Times New Roman"/>
          <w:sz w:val="26"/>
          <w:szCs w:val="26"/>
        </w:rPr>
        <w:t xml:space="preserve"> кросс-функциональная группа,</w:t>
      </w:r>
      <w:r w:rsidRPr="004C02CF">
        <w:rPr>
          <w:rFonts w:asciiTheme="majorHAnsi" w:hAnsiTheme="majorHAnsi" w:cs="Times New Roman"/>
          <w:sz w:val="26"/>
          <w:szCs w:val="26"/>
        </w:rPr>
        <w:t xml:space="preserve"> которая готовит заключение о компетенции поставщика, отбираются 15 компаний, из числа которых определяется шесть участников с помощью фильтров отсева (критерии), и только потом проводится электронный тендер.</w:t>
      </w:r>
    </w:p>
    <w:p w:rsidR="00C968AD" w:rsidRPr="004C02CF" w:rsidRDefault="00C968AD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lastRenderedPageBreak/>
        <w:t xml:space="preserve">Интересно, что </w:t>
      </w:r>
      <w:r w:rsidRPr="00270DA7">
        <w:rPr>
          <w:rFonts w:asciiTheme="majorHAnsi" w:hAnsiTheme="majorHAnsi" w:cs="Times New Roman"/>
          <w:b/>
          <w:sz w:val="26"/>
          <w:szCs w:val="26"/>
        </w:rPr>
        <w:t>при проведении тендеров компания «Сименс»</w:t>
      </w:r>
      <w:r w:rsidRPr="004C02CF">
        <w:rPr>
          <w:rFonts w:asciiTheme="majorHAnsi" w:hAnsiTheme="majorHAnsi" w:cs="Times New Roman"/>
          <w:sz w:val="26"/>
          <w:szCs w:val="26"/>
        </w:rPr>
        <w:t xml:space="preserve"> в понятие цены вкладывает не только стоимость услуги и работы, а</w:t>
      </w:r>
      <w:r w:rsidRPr="004C02CF">
        <w:rPr>
          <w:rStyle w:val="BodytextBold"/>
          <w:rFonts w:asciiTheme="majorHAnsi" w:hAnsiTheme="majorHAnsi" w:cs="Times New Roman"/>
          <w:sz w:val="26"/>
          <w:szCs w:val="26"/>
        </w:rPr>
        <w:t xml:space="preserve"> цены владения.</w:t>
      </w:r>
      <w:r w:rsidRPr="004C02CF">
        <w:rPr>
          <w:rFonts w:asciiTheme="majorHAnsi" w:hAnsiTheme="majorHAnsi" w:cs="Times New Roman"/>
          <w:sz w:val="26"/>
          <w:szCs w:val="26"/>
        </w:rPr>
        <w:t xml:space="preserve"> Также в основе такой стратегии лежит развитие поставщика, которое включается в план сотрудничества.</w:t>
      </w: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В процессе управления эффективностью служба по закупкам оценивает поставщика и может принять решение о дисквалификации.</w:t>
      </w:r>
    </w:p>
    <w:p w:rsidR="00820C49" w:rsidRDefault="00F0019F" w:rsidP="004C02CF">
      <w:pPr>
        <w:pStyle w:val="a4"/>
        <w:ind w:firstLine="567"/>
        <w:jc w:val="both"/>
        <w:rPr>
          <w:rStyle w:val="Bodytext145ptScaling70"/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«Сименс» регулярно уточняет, какие изменения происходят у поставщиков: обновление производственных мощностей, смена управленческой команды, рост клиентов, развитие сети дистрибуции путем визитов,</w:t>
      </w:r>
      <w:r w:rsidRPr="006F36C2">
        <w:rPr>
          <w:rFonts w:asciiTheme="majorHAnsi" w:hAnsiTheme="majorHAnsi"/>
          <w:sz w:val="26"/>
          <w:szCs w:val="26"/>
        </w:rPr>
        <w:t xml:space="preserve"> телефонных интервью, анализа сайта или запроса заполнения анкеты.</w:t>
      </w:r>
    </w:p>
    <w:p w:rsidR="002B1B5E" w:rsidRPr="002B1B5E" w:rsidRDefault="002B1B5E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270DA7">
        <w:rPr>
          <w:rStyle w:val="BodytextBoldItalic"/>
          <w:rFonts w:asciiTheme="majorHAnsi" w:hAnsiTheme="majorHAnsi" w:cs="Times New Roman"/>
          <w:i w:val="0"/>
          <w:sz w:val="26"/>
          <w:szCs w:val="26"/>
        </w:rPr>
        <w:t>Открытое акционерное общество «ТНК-</w:t>
      </w:r>
      <w:r w:rsidRPr="00270DA7">
        <w:rPr>
          <w:rStyle w:val="BodytextBoldItalic"/>
          <w:rFonts w:asciiTheme="majorHAnsi" w:hAnsiTheme="majorHAnsi" w:cs="Times New Roman"/>
          <w:i w:val="0"/>
          <w:sz w:val="26"/>
          <w:szCs w:val="26"/>
          <w:lang w:val="en-US"/>
        </w:rPr>
        <w:t>BP</w:t>
      </w:r>
      <w:r w:rsidRPr="00270DA7">
        <w:rPr>
          <w:rStyle w:val="BodytextBoldItalic"/>
          <w:rFonts w:asciiTheme="majorHAnsi" w:hAnsiTheme="majorHAnsi" w:cs="Times New Roman"/>
          <w:i w:val="0"/>
          <w:sz w:val="26"/>
          <w:szCs w:val="26"/>
        </w:rPr>
        <w:t xml:space="preserve"> Холдинг»</w:t>
      </w:r>
      <w:r w:rsidRPr="00270DA7">
        <w:rPr>
          <w:rFonts w:asciiTheme="majorHAnsi" w:hAnsiTheme="majorHAnsi" w:cs="Times New Roman"/>
          <w:i/>
          <w:sz w:val="26"/>
          <w:szCs w:val="26"/>
        </w:rPr>
        <w:t xml:space="preserve"> </w:t>
      </w:r>
      <w:r w:rsidRPr="00270DA7">
        <w:rPr>
          <w:rFonts w:asciiTheme="majorHAnsi" w:hAnsiTheme="majorHAnsi" w:cs="Times New Roman"/>
          <w:sz w:val="26"/>
          <w:szCs w:val="26"/>
        </w:rPr>
        <w:t>это одна из крупнейших российских нефтяных компаний (третья в Росс</w:t>
      </w:r>
      <w:r w:rsidRPr="004C02CF">
        <w:rPr>
          <w:rFonts w:asciiTheme="majorHAnsi" w:hAnsiTheme="majorHAnsi" w:cs="Times New Roman"/>
          <w:sz w:val="26"/>
          <w:szCs w:val="26"/>
        </w:rPr>
        <w:t>ии по объёму добычи нефти). Она проводит закупки, разделяя их на три перечня, также для управления такими закупками используются методы категорийного менеджмента. Такой подход предполагает, что каждая категория закупок - это отдельный бизнес. Типы сделок объединены в секторы, каждые из которых ведут работу на основании технологических стандартов, структур ценообразования, типовых контрактов,</w:t>
      </w:r>
      <w:r w:rsidR="006F36C2">
        <w:rPr>
          <w:rFonts w:asciiTheme="majorHAnsi" w:hAnsiTheme="majorHAnsi" w:cs="Times New Roman"/>
          <w:sz w:val="26"/>
          <w:szCs w:val="26"/>
        </w:rPr>
        <w:t xml:space="preserve"> </w:t>
      </w:r>
      <w:r w:rsidRPr="004C02CF">
        <w:rPr>
          <w:rFonts w:asciiTheme="majorHAnsi" w:hAnsiTheme="majorHAnsi" w:cs="Times New Roman"/>
          <w:sz w:val="26"/>
          <w:szCs w:val="26"/>
        </w:rPr>
        <w:t>обзоре рынка и др.</w:t>
      </w: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Консолидация потребности позволяет использовать объемы в качестве мотивации подрядчиков.</w:t>
      </w:r>
    </w:p>
    <w:p w:rsidR="00820C49" w:rsidRPr="004C02CF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В настоящее время внедряется комплексный подход управления качеством по всей цепочке жизненного цикла заказа от проектирования до эксплуатации. Имеется электронная база данных по претензионной работе, контроль качества. В период пред</w:t>
      </w:r>
      <w:r w:rsidR="006F36C2">
        <w:rPr>
          <w:rFonts w:asciiTheme="majorHAnsi" w:hAnsiTheme="majorHAnsi" w:cs="Times New Roman"/>
          <w:sz w:val="26"/>
          <w:szCs w:val="26"/>
        </w:rPr>
        <w:t>к</w:t>
      </w:r>
      <w:r w:rsidRPr="004C02CF">
        <w:rPr>
          <w:rFonts w:asciiTheme="majorHAnsi" w:hAnsiTheme="majorHAnsi" w:cs="Times New Roman"/>
          <w:sz w:val="26"/>
          <w:szCs w:val="26"/>
        </w:rPr>
        <w:t>валификации и перед началом выполнения работ проводятся аудиты сервисных предприятий.</w:t>
      </w:r>
    </w:p>
    <w:p w:rsidR="00820C49" w:rsidRDefault="00F0019F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4C02CF">
        <w:rPr>
          <w:rFonts w:asciiTheme="majorHAnsi" w:hAnsiTheme="majorHAnsi" w:cs="Times New Roman"/>
          <w:sz w:val="26"/>
          <w:szCs w:val="26"/>
        </w:rPr>
        <w:t>В ТНК-</w:t>
      </w:r>
      <w:r w:rsidRPr="004C02CF">
        <w:rPr>
          <w:rFonts w:asciiTheme="majorHAnsi" w:hAnsiTheme="majorHAnsi" w:cs="Times New Roman"/>
          <w:sz w:val="26"/>
          <w:szCs w:val="26"/>
          <w:lang w:val="en-US"/>
        </w:rPr>
        <w:t>BP</w:t>
      </w:r>
      <w:r w:rsidRPr="004C02CF">
        <w:rPr>
          <w:rFonts w:asciiTheme="majorHAnsi" w:hAnsiTheme="majorHAnsi" w:cs="Times New Roman"/>
          <w:sz w:val="26"/>
          <w:szCs w:val="26"/>
        </w:rPr>
        <w:t xml:space="preserve"> внедрен процесс Управления эффективностью деятельности контрагентов, принят стандарт бизнес-этики, что является залогом устойчивого роста и процветания.</w:t>
      </w:r>
    </w:p>
    <w:p w:rsidR="008111DE" w:rsidRPr="008111DE" w:rsidRDefault="008111DE" w:rsidP="004C02CF">
      <w:pPr>
        <w:pStyle w:val="a4"/>
        <w:ind w:firstLine="567"/>
        <w:jc w:val="both"/>
        <w:rPr>
          <w:rFonts w:asciiTheme="majorHAnsi" w:hAnsiTheme="majorHAnsi" w:cs="Times New Roman"/>
          <w:sz w:val="26"/>
          <w:szCs w:val="26"/>
        </w:rPr>
      </w:pPr>
    </w:p>
    <w:p w:rsidR="00A04D11" w:rsidRPr="003247F0" w:rsidRDefault="00A04D11" w:rsidP="00E34F3E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3247F0">
        <w:rPr>
          <w:rFonts w:asciiTheme="majorHAnsi" w:hAnsiTheme="majorHAnsi" w:cs="Times New Roman"/>
          <w:b/>
          <w:sz w:val="26"/>
          <w:szCs w:val="26"/>
        </w:rPr>
        <w:t xml:space="preserve">7. </w:t>
      </w:r>
    </w:p>
    <w:p w:rsidR="00750CBA" w:rsidRPr="00A56274" w:rsidRDefault="00750CBA" w:rsidP="00E34F3E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56274">
        <w:rPr>
          <w:rFonts w:asciiTheme="majorHAnsi" w:hAnsiTheme="majorHAnsi" w:cs="Times New Roman"/>
          <w:b/>
          <w:sz w:val="26"/>
          <w:szCs w:val="26"/>
        </w:rPr>
        <w:t xml:space="preserve">Проведение торгов </w:t>
      </w:r>
      <w:r w:rsidR="0034489E">
        <w:rPr>
          <w:rFonts w:asciiTheme="majorHAnsi" w:hAnsiTheme="majorHAnsi" w:cs="Times New Roman"/>
          <w:b/>
          <w:sz w:val="26"/>
          <w:szCs w:val="26"/>
        </w:rPr>
        <w:t xml:space="preserve">с использованием открытого аукциона в электронной форме </w:t>
      </w:r>
      <w:r w:rsidR="00A56274" w:rsidRPr="00A56274">
        <w:rPr>
          <w:rFonts w:asciiTheme="majorHAnsi" w:hAnsiTheme="majorHAnsi"/>
          <w:b/>
          <w:sz w:val="26"/>
          <w:szCs w:val="26"/>
        </w:rPr>
        <w:t>на выполнение работ по строительству, реконструкции, капитальному ремонту объектов капитального строительства</w:t>
      </w:r>
      <w:r w:rsidR="00A56274" w:rsidRPr="00A5627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A56274">
        <w:rPr>
          <w:rFonts w:asciiTheme="majorHAnsi" w:hAnsiTheme="majorHAnsi" w:cs="Times New Roman"/>
          <w:b/>
          <w:sz w:val="26"/>
          <w:szCs w:val="26"/>
        </w:rPr>
        <w:t>в России</w:t>
      </w:r>
    </w:p>
    <w:p w:rsidR="0034489E" w:rsidRDefault="0034489E" w:rsidP="003247F0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0F26CB" w:rsidRPr="002423EC" w:rsidRDefault="00E43371" w:rsidP="002423EC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2423EC">
        <w:rPr>
          <w:rFonts w:asciiTheme="majorHAnsi" w:hAnsiTheme="majorHAnsi"/>
          <w:sz w:val="26"/>
          <w:szCs w:val="26"/>
        </w:rPr>
        <w:t xml:space="preserve">С 01 января 2008 года вступила в силу часть 4.1. статьи 10 </w:t>
      </w:r>
      <w:r w:rsidR="00C0353A" w:rsidRPr="002423EC">
        <w:rPr>
          <w:rFonts w:asciiTheme="majorHAnsi" w:hAnsiTheme="majorHAnsi"/>
          <w:sz w:val="26"/>
          <w:szCs w:val="26"/>
        </w:rPr>
        <w:t>Зак</w:t>
      </w:r>
      <w:r w:rsidR="008616D7" w:rsidRPr="002423EC">
        <w:rPr>
          <w:rFonts w:asciiTheme="majorHAnsi" w:hAnsiTheme="majorHAnsi"/>
          <w:sz w:val="26"/>
          <w:szCs w:val="26"/>
        </w:rPr>
        <w:t xml:space="preserve">она № 94-ФЗ от 21 июля 2005 года «О размещении заказов на поставки товаров, выполнение работ, оказание услуг для государственных и муниципальных нужд» (Закон № 94-ФЗ) </w:t>
      </w:r>
      <w:r w:rsidR="003B7FED" w:rsidRPr="002423EC">
        <w:rPr>
          <w:rFonts w:asciiTheme="majorHAnsi" w:hAnsiTheme="majorHAnsi"/>
          <w:sz w:val="26"/>
          <w:szCs w:val="26"/>
        </w:rPr>
        <w:t>о р</w:t>
      </w:r>
      <w:r w:rsidR="000F26CB" w:rsidRPr="002423EC">
        <w:rPr>
          <w:rFonts w:asciiTheme="majorHAnsi" w:hAnsiTheme="majorHAnsi"/>
          <w:sz w:val="26"/>
          <w:szCs w:val="26"/>
        </w:rPr>
        <w:t>азмещени</w:t>
      </w:r>
      <w:r w:rsidR="003B7FED" w:rsidRPr="002423EC">
        <w:rPr>
          <w:rFonts w:asciiTheme="majorHAnsi" w:hAnsiTheme="majorHAnsi"/>
          <w:sz w:val="26"/>
          <w:szCs w:val="26"/>
        </w:rPr>
        <w:t>и</w:t>
      </w:r>
      <w:r w:rsidR="000F26CB" w:rsidRPr="002423EC">
        <w:rPr>
          <w:rFonts w:asciiTheme="majorHAnsi" w:hAnsiTheme="majorHAnsi"/>
          <w:sz w:val="26"/>
          <w:szCs w:val="26"/>
        </w:rPr>
        <w:t xml:space="preserve"> заказ</w:t>
      </w:r>
      <w:r w:rsidR="003B7FED" w:rsidRPr="002423EC">
        <w:rPr>
          <w:rFonts w:asciiTheme="majorHAnsi" w:hAnsiTheme="majorHAnsi"/>
          <w:sz w:val="26"/>
          <w:szCs w:val="26"/>
        </w:rPr>
        <w:t>ов</w:t>
      </w:r>
      <w:r w:rsidR="000F26CB" w:rsidRPr="002423EC">
        <w:rPr>
          <w:rFonts w:asciiTheme="majorHAnsi" w:hAnsiTheme="majorHAnsi"/>
          <w:sz w:val="26"/>
          <w:szCs w:val="26"/>
        </w:rPr>
        <w:t xml:space="preserve"> на выполнение работ по строительству, реконструкции, капитальному ремонту объектов капитального строительства, в том числе автомобильных дорог, временных </w:t>
      </w:r>
      <w:r w:rsidR="000F26CB" w:rsidRPr="002423EC">
        <w:rPr>
          <w:rFonts w:asciiTheme="majorHAnsi" w:hAnsiTheme="majorHAnsi"/>
          <w:sz w:val="26"/>
          <w:szCs w:val="26"/>
        </w:rPr>
        <w:lastRenderedPageBreak/>
        <w:t xml:space="preserve">построек, киосков, навесов и других подобных построек, для государственных или муниципальных нужд осуществляется путем проведения аукциона. </w:t>
      </w:r>
    </w:p>
    <w:p w:rsidR="00750CBA" w:rsidRPr="002423EC" w:rsidRDefault="0040234F" w:rsidP="002423EC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2423EC">
        <w:rPr>
          <w:rFonts w:asciiTheme="majorHAnsi" w:hAnsiTheme="majorHAnsi"/>
          <w:sz w:val="26"/>
          <w:szCs w:val="26"/>
        </w:rPr>
        <w:t xml:space="preserve">С 01 июля 2010 года </w:t>
      </w:r>
      <w:r w:rsidR="00750CBA" w:rsidRPr="002423EC">
        <w:rPr>
          <w:rFonts w:asciiTheme="majorHAnsi" w:hAnsiTheme="majorHAnsi"/>
          <w:sz w:val="26"/>
          <w:szCs w:val="26"/>
        </w:rPr>
        <w:t>(согласно Федерального закона от 25 ноября 2009 г. № 273-ФЗ</w:t>
      </w:r>
      <w:r w:rsidR="007A7603" w:rsidRPr="002423EC">
        <w:rPr>
          <w:rFonts w:asciiTheme="majorHAnsi" w:hAnsiTheme="majorHAnsi"/>
          <w:sz w:val="26"/>
          <w:szCs w:val="26"/>
        </w:rPr>
        <w:t>)</w:t>
      </w:r>
      <w:r w:rsidR="00750CBA" w:rsidRPr="002423EC">
        <w:rPr>
          <w:rFonts w:asciiTheme="majorHAnsi" w:hAnsiTheme="majorHAnsi"/>
          <w:sz w:val="26"/>
          <w:szCs w:val="26"/>
        </w:rPr>
        <w:t xml:space="preserve"> </w:t>
      </w:r>
      <w:r w:rsidR="00750CBA" w:rsidRPr="00712B57">
        <w:rPr>
          <w:rFonts w:asciiTheme="majorHAnsi" w:hAnsiTheme="majorHAnsi"/>
          <w:b/>
          <w:sz w:val="26"/>
          <w:szCs w:val="26"/>
        </w:rPr>
        <w:t>размещение заказа на выполнение работ по строительству, реконструкции, капитальному ремонту объектов капитального строительства</w:t>
      </w:r>
      <w:r w:rsidR="00750CBA" w:rsidRPr="002423EC">
        <w:rPr>
          <w:rFonts w:asciiTheme="majorHAnsi" w:hAnsiTheme="majorHAnsi"/>
          <w:sz w:val="26"/>
          <w:szCs w:val="26"/>
        </w:rPr>
        <w:t>, в том числе автомобильных дорог, а также временных построек, киосков, навесов и других подобных построек</w:t>
      </w:r>
      <w:r w:rsidR="007D19C0" w:rsidRPr="002423EC">
        <w:rPr>
          <w:rFonts w:asciiTheme="majorHAnsi" w:hAnsiTheme="majorHAnsi"/>
          <w:sz w:val="26"/>
          <w:szCs w:val="26"/>
        </w:rPr>
        <w:t>,</w:t>
      </w:r>
      <w:r w:rsidR="00750CBA" w:rsidRPr="002423EC">
        <w:rPr>
          <w:rFonts w:asciiTheme="majorHAnsi" w:hAnsiTheme="majorHAnsi"/>
          <w:sz w:val="26"/>
          <w:szCs w:val="26"/>
        </w:rPr>
        <w:t xml:space="preserve"> </w:t>
      </w:r>
      <w:r w:rsidR="00707377" w:rsidRPr="002423EC">
        <w:rPr>
          <w:rFonts w:asciiTheme="majorHAnsi" w:hAnsiTheme="majorHAnsi"/>
          <w:sz w:val="26"/>
          <w:szCs w:val="26"/>
        </w:rPr>
        <w:t xml:space="preserve">для нужд заказчиков </w:t>
      </w:r>
      <w:r w:rsidR="00750CBA" w:rsidRPr="002423EC">
        <w:rPr>
          <w:rFonts w:asciiTheme="majorHAnsi" w:hAnsiTheme="majorHAnsi"/>
          <w:sz w:val="26"/>
          <w:szCs w:val="26"/>
        </w:rPr>
        <w:t>осуществляется путем п</w:t>
      </w:r>
      <w:r w:rsidR="00C12577" w:rsidRPr="002423EC">
        <w:rPr>
          <w:rFonts w:asciiTheme="majorHAnsi" w:hAnsiTheme="majorHAnsi"/>
          <w:sz w:val="26"/>
          <w:szCs w:val="26"/>
        </w:rPr>
        <w:t xml:space="preserve">роведения </w:t>
      </w:r>
      <w:r w:rsidR="00C12577" w:rsidRPr="00712B57">
        <w:rPr>
          <w:rFonts w:asciiTheme="majorHAnsi" w:hAnsiTheme="majorHAnsi"/>
          <w:b/>
          <w:sz w:val="26"/>
          <w:szCs w:val="26"/>
        </w:rPr>
        <w:t>открытого аукциона в электронной форме</w:t>
      </w:r>
      <w:r w:rsidR="00750CBA" w:rsidRPr="002423EC">
        <w:rPr>
          <w:rFonts w:asciiTheme="majorHAnsi" w:hAnsiTheme="majorHAnsi"/>
          <w:sz w:val="26"/>
          <w:szCs w:val="26"/>
        </w:rPr>
        <w:t>.</w:t>
      </w:r>
    </w:p>
    <w:p w:rsidR="003C0EE7" w:rsidRPr="003247F0" w:rsidRDefault="00AA38D6" w:rsidP="003247F0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3247F0">
        <w:rPr>
          <w:rFonts w:asciiTheme="majorHAnsi" w:hAnsiTheme="majorHAnsi"/>
          <w:sz w:val="26"/>
          <w:szCs w:val="26"/>
        </w:rPr>
        <w:t>Также с</w:t>
      </w:r>
      <w:r w:rsidR="003C0EE7" w:rsidRPr="003247F0">
        <w:rPr>
          <w:rFonts w:asciiTheme="majorHAnsi" w:hAnsiTheme="majorHAnsi"/>
          <w:sz w:val="26"/>
          <w:szCs w:val="26"/>
        </w:rPr>
        <w:t xml:space="preserve"> 1 июля 2010 года статья 41 Федерального закона № 94-ФЗ от 21 июля 2005 года «О размещении заказов на поставки товаров, выполнение работ, оказание услуг для государственных и муниципальных нужд» (Закон № 94-ФЗ) утратила свою силу. Привычная ненавязчивая </w:t>
      </w:r>
      <w:r w:rsidR="003C0EE7" w:rsidRPr="003247F0">
        <w:rPr>
          <w:rStyle w:val="aa"/>
          <w:rFonts w:asciiTheme="majorHAnsi" w:hAnsiTheme="majorHAnsi"/>
          <w:b w:val="0"/>
          <w:bCs w:val="0"/>
          <w:sz w:val="26"/>
          <w:szCs w:val="26"/>
        </w:rPr>
        <w:t xml:space="preserve">процедура </w:t>
      </w:r>
      <w:r w:rsidR="00DA089B" w:rsidRPr="003247F0">
        <w:rPr>
          <w:rStyle w:val="aa"/>
          <w:rFonts w:asciiTheme="majorHAnsi" w:hAnsiTheme="majorHAnsi"/>
          <w:b w:val="0"/>
          <w:bCs w:val="0"/>
          <w:sz w:val="26"/>
          <w:szCs w:val="26"/>
        </w:rPr>
        <w:t xml:space="preserve">проведения </w:t>
      </w:r>
      <w:r w:rsidR="003C0EE7" w:rsidRPr="003247F0">
        <w:rPr>
          <w:rStyle w:val="aa"/>
          <w:rFonts w:asciiTheme="majorHAnsi" w:hAnsiTheme="majorHAnsi"/>
          <w:b w:val="0"/>
          <w:bCs w:val="0"/>
          <w:sz w:val="26"/>
          <w:szCs w:val="26"/>
        </w:rPr>
        <w:t>аукциона</w:t>
      </w:r>
      <w:r w:rsidR="003C0EE7" w:rsidRPr="003247F0">
        <w:rPr>
          <w:rFonts w:asciiTheme="majorHAnsi" w:hAnsiTheme="majorHAnsi"/>
          <w:sz w:val="26"/>
          <w:szCs w:val="26"/>
        </w:rPr>
        <w:t xml:space="preserve"> сменилась довольно продолжительной и запутанной процедурой, которой отведена теперь целая новая глава – гл. 3.1 Закона № 94-ФЗ.</w:t>
      </w:r>
    </w:p>
    <w:p w:rsidR="003C0EE7" w:rsidRPr="003247F0" w:rsidRDefault="00DA089B" w:rsidP="003247F0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3247F0">
        <w:rPr>
          <w:rFonts w:asciiTheme="majorHAnsi" w:hAnsiTheme="majorHAnsi"/>
          <w:sz w:val="26"/>
          <w:szCs w:val="26"/>
        </w:rPr>
        <w:t>Е</w:t>
      </w:r>
      <w:r w:rsidR="003C0EE7" w:rsidRPr="003247F0">
        <w:rPr>
          <w:rFonts w:asciiTheme="majorHAnsi" w:hAnsiTheme="majorHAnsi"/>
          <w:sz w:val="26"/>
          <w:szCs w:val="26"/>
        </w:rPr>
        <w:t xml:space="preserve">сли ранее описание процедуры по ст. 41 Закона № 94-ФЗ занимало примерно пару листов, то теперь процедуру проведения </w:t>
      </w:r>
      <w:r w:rsidR="003C0EE7" w:rsidRPr="003247F0">
        <w:rPr>
          <w:rStyle w:val="aa"/>
          <w:rFonts w:asciiTheme="majorHAnsi" w:hAnsiTheme="majorHAnsi"/>
          <w:b w:val="0"/>
          <w:bCs w:val="0"/>
          <w:sz w:val="26"/>
          <w:szCs w:val="26"/>
        </w:rPr>
        <w:t>электронного аукциона</w:t>
      </w:r>
      <w:r w:rsidR="003C0EE7" w:rsidRPr="003247F0">
        <w:rPr>
          <w:rFonts w:asciiTheme="majorHAnsi" w:hAnsiTheme="majorHAnsi"/>
          <w:sz w:val="26"/>
          <w:szCs w:val="26"/>
        </w:rPr>
        <w:t xml:space="preserve"> растянули на 12 статей, описанных на 20 листах. А ведь чем больше написано, тем больше вероятность запутаться в правильности и законности действий всех участников процесса. Всевозможные форумы по госзакупкам изобилуют диспутами </w:t>
      </w:r>
      <w:r w:rsidR="00C51E3A" w:rsidRPr="003247F0">
        <w:rPr>
          <w:rFonts w:asciiTheme="majorHAnsi" w:hAnsiTheme="majorHAnsi"/>
          <w:sz w:val="26"/>
          <w:szCs w:val="26"/>
        </w:rPr>
        <w:t xml:space="preserve">по </w:t>
      </w:r>
      <w:r w:rsidR="003C0EE7" w:rsidRPr="003247F0">
        <w:rPr>
          <w:rFonts w:asciiTheme="majorHAnsi" w:hAnsiTheme="majorHAnsi"/>
          <w:sz w:val="26"/>
          <w:szCs w:val="26"/>
        </w:rPr>
        <w:t>гл. 3.1 Закона № 94-ФЗ, все обсуждают ее несовершенство</w:t>
      </w:r>
      <w:r w:rsidR="00AA38D6" w:rsidRPr="003247F0">
        <w:rPr>
          <w:rFonts w:asciiTheme="majorHAnsi" w:hAnsiTheme="majorHAnsi"/>
          <w:sz w:val="26"/>
          <w:szCs w:val="26"/>
        </w:rPr>
        <w:t>. Т</w:t>
      </w:r>
      <w:r w:rsidR="003C0EE7" w:rsidRPr="003247F0">
        <w:rPr>
          <w:rFonts w:asciiTheme="majorHAnsi" w:hAnsiTheme="majorHAnsi"/>
          <w:sz w:val="26"/>
          <w:szCs w:val="26"/>
        </w:rPr>
        <w:t xml:space="preserve">олько спустя 8 месяцев после вступления в силу гл. и 3.1 Закона № 94-ФЗ </w:t>
      </w:r>
      <w:r w:rsidR="00C51E3A" w:rsidRPr="003247F0">
        <w:rPr>
          <w:rFonts w:asciiTheme="majorHAnsi" w:hAnsiTheme="majorHAnsi"/>
          <w:sz w:val="26"/>
          <w:szCs w:val="26"/>
        </w:rPr>
        <w:t xml:space="preserve">были </w:t>
      </w:r>
      <w:r w:rsidR="003C0EE7" w:rsidRPr="003247F0">
        <w:rPr>
          <w:rFonts w:asciiTheme="majorHAnsi" w:hAnsiTheme="majorHAnsi"/>
          <w:sz w:val="26"/>
          <w:szCs w:val="26"/>
        </w:rPr>
        <w:t xml:space="preserve">опубликованы первые изменения к ней. </w:t>
      </w:r>
    </w:p>
    <w:p w:rsidR="00A64046" w:rsidRPr="004A6E4E" w:rsidRDefault="00AB5678" w:rsidP="004A6E4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4A6E4E">
        <w:rPr>
          <w:rFonts w:asciiTheme="majorHAnsi" w:hAnsiTheme="majorHAnsi"/>
          <w:sz w:val="26"/>
          <w:szCs w:val="26"/>
        </w:rPr>
        <w:t>Проектом распоряжения Правительства по поручению Прав</w:t>
      </w:r>
      <w:r w:rsidR="00900E0B" w:rsidRPr="004A6E4E">
        <w:rPr>
          <w:rFonts w:asciiTheme="majorHAnsi" w:hAnsiTheme="majorHAnsi"/>
          <w:sz w:val="26"/>
          <w:szCs w:val="26"/>
        </w:rPr>
        <w:t>ительства РФ от 21 мая 2013 г. №</w:t>
      </w:r>
      <w:r w:rsidRPr="004A6E4E">
        <w:rPr>
          <w:rFonts w:asciiTheme="majorHAnsi" w:hAnsiTheme="majorHAnsi"/>
          <w:sz w:val="26"/>
          <w:szCs w:val="26"/>
        </w:rPr>
        <w:t xml:space="preserve"> ДМ-П13-3339 (пункт 16 </w:t>
      </w:r>
      <w:r w:rsidR="00F0019F" w:rsidRPr="004A6E4E">
        <w:rPr>
          <w:rFonts w:asciiTheme="majorHAnsi" w:hAnsiTheme="majorHAnsi"/>
          <w:sz w:val="26"/>
          <w:szCs w:val="26"/>
        </w:rPr>
        <w:t>плана мероприятий) об утверждении перечня товаров, работ, услуг, в случае осуществления закупок которых заказчик обязан проводить электронный аукцион включен</w:t>
      </w:r>
      <w:r w:rsidR="00CB79F8" w:rsidRPr="004A6E4E">
        <w:rPr>
          <w:rFonts w:asciiTheme="majorHAnsi" w:hAnsiTheme="majorHAnsi"/>
          <w:sz w:val="26"/>
          <w:szCs w:val="26"/>
        </w:rPr>
        <w:t>ы работы строительные.</w:t>
      </w:r>
      <w:r w:rsidR="00AE069A" w:rsidRPr="004A6E4E">
        <w:rPr>
          <w:rFonts w:asciiTheme="majorHAnsi" w:hAnsiTheme="majorHAnsi"/>
          <w:sz w:val="26"/>
          <w:szCs w:val="26"/>
        </w:rPr>
        <w:t xml:space="preserve"> Из </w:t>
      </w:r>
      <w:r w:rsidR="00CB79F8" w:rsidRPr="004A6E4E">
        <w:rPr>
          <w:rFonts w:asciiTheme="majorHAnsi" w:hAnsiTheme="majorHAnsi"/>
          <w:sz w:val="26"/>
          <w:szCs w:val="26"/>
        </w:rPr>
        <w:t xml:space="preserve"> перечня (по сравнению с действующим перечнем) исключены закупки </w:t>
      </w:r>
      <w:r w:rsidR="00A64046" w:rsidRPr="004A6E4E">
        <w:rPr>
          <w:rFonts w:asciiTheme="majorHAnsi" w:hAnsiTheme="majorHAnsi"/>
          <w:sz w:val="26"/>
          <w:szCs w:val="26"/>
        </w:rPr>
        <w:t>по коду «Услуги строительные и объекты строительства» с начальной (максимальной ценой контракта свыше 500 млн. рублей</w:t>
      </w:r>
      <w:r w:rsidR="004A6E4E">
        <w:rPr>
          <w:rFonts w:asciiTheme="majorHAnsi" w:hAnsiTheme="majorHAnsi"/>
          <w:sz w:val="26"/>
          <w:szCs w:val="26"/>
        </w:rPr>
        <w:t>)</w:t>
      </w:r>
      <w:r w:rsidR="00A64046" w:rsidRPr="004A6E4E">
        <w:rPr>
          <w:rFonts w:asciiTheme="majorHAnsi" w:hAnsiTheme="majorHAnsi"/>
          <w:sz w:val="26"/>
          <w:szCs w:val="26"/>
        </w:rPr>
        <w:t>.</w:t>
      </w:r>
    </w:p>
    <w:p w:rsidR="00E00A5A" w:rsidRPr="0077794B" w:rsidRDefault="00E00A5A" w:rsidP="004A6E4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4A6E4E">
        <w:rPr>
          <w:rFonts w:asciiTheme="majorHAnsi" w:hAnsiTheme="majorHAnsi"/>
          <w:sz w:val="26"/>
          <w:szCs w:val="26"/>
        </w:rPr>
        <w:t>При этом, необходимо обратить внимание, что в «Перечне товаров, работ и услуг, закупка которых осуществляется в электронной форме»</w:t>
      </w:r>
      <w:r w:rsidRPr="0077794B">
        <w:rPr>
          <w:rFonts w:asciiTheme="majorHAnsi" w:hAnsiTheme="majorHAnsi"/>
          <w:sz w:val="26"/>
          <w:szCs w:val="26"/>
        </w:rPr>
        <w:t xml:space="preserve"> </w:t>
      </w:r>
      <w:r w:rsidR="0077794B" w:rsidRPr="0077794B">
        <w:rPr>
          <w:rFonts w:asciiTheme="majorHAnsi" w:hAnsiTheme="majorHAnsi"/>
          <w:sz w:val="26"/>
          <w:szCs w:val="26"/>
        </w:rPr>
        <w:t>(</w:t>
      </w:r>
      <w:r w:rsidR="0077794B" w:rsidRPr="0077794B">
        <w:rPr>
          <w:rFonts w:asciiTheme="majorHAnsi" w:hAnsiTheme="majorHAnsi"/>
          <w:b/>
          <w:sz w:val="26"/>
          <w:szCs w:val="26"/>
        </w:rPr>
        <w:t>утверждённый постановлением Правительства РФ от 21 июня 2012 г. № 616)</w:t>
      </w:r>
      <w:r w:rsidR="0077794B" w:rsidRPr="0077794B">
        <w:rPr>
          <w:rFonts w:asciiTheme="majorHAnsi" w:hAnsiTheme="majorHAnsi"/>
          <w:sz w:val="26"/>
          <w:szCs w:val="26"/>
        </w:rPr>
        <w:t xml:space="preserve"> </w:t>
      </w:r>
      <w:r w:rsidRPr="0077794B">
        <w:rPr>
          <w:rFonts w:asciiTheme="majorHAnsi" w:hAnsiTheme="majorHAnsi"/>
          <w:sz w:val="26"/>
          <w:szCs w:val="26"/>
        </w:rPr>
        <w:t xml:space="preserve">в соответствии с Федеральным законом 223-ФЗ от 18 июля 2011 г. «О закупках товаров, работ и услуг отдельными видами юридических лиц» вообще отсутствует даже упоминание о работах инвестиционно-строительной деятельности (изыскания, проектирование, выполнение функций строительного контроля по договору с техническим заказчиком, работы по строительству, реконструкции или капитальному ремонту объектов капитального строительства). И это правильно. Так почему же, по аналогии, такие же требования в Минэкономразвития России не перенесли на рассматриваемый Перечень? </w:t>
      </w:r>
    </w:p>
    <w:p w:rsidR="00A64046" w:rsidRPr="0086009F" w:rsidRDefault="00602EBC" w:rsidP="0086009F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86009F">
        <w:rPr>
          <w:rFonts w:asciiTheme="majorHAnsi" w:hAnsiTheme="majorHAnsi"/>
          <w:sz w:val="26"/>
          <w:szCs w:val="26"/>
        </w:rPr>
        <w:lastRenderedPageBreak/>
        <w:t xml:space="preserve">Необходимо отметить, что в 2012 году доля заключенных контрактов на услуги строительные и объекты строительства в </w:t>
      </w:r>
      <w:r w:rsidR="008B138B" w:rsidRPr="0086009F">
        <w:rPr>
          <w:rFonts w:asciiTheme="majorHAnsi" w:hAnsiTheme="majorHAnsi"/>
          <w:sz w:val="26"/>
          <w:szCs w:val="26"/>
        </w:rPr>
        <w:t>диапазоне</w:t>
      </w:r>
      <w:r w:rsidRPr="0086009F">
        <w:rPr>
          <w:rFonts w:asciiTheme="majorHAnsi" w:hAnsiTheme="majorHAnsi"/>
          <w:sz w:val="26"/>
          <w:szCs w:val="26"/>
        </w:rPr>
        <w:t xml:space="preserve"> до 500 млн. рублей составила 99,8% контрактов (по количеству), 52% (по стоимости</w:t>
      </w:r>
      <w:r w:rsidR="008B138B" w:rsidRPr="0086009F">
        <w:rPr>
          <w:rFonts w:asciiTheme="majorHAnsi" w:hAnsiTheme="majorHAnsi"/>
          <w:sz w:val="26"/>
          <w:szCs w:val="26"/>
        </w:rPr>
        <w:t>), а в диапазоне свыше 500 млн. рублей – 0,2% (п</w:t>
      </w:r>
      <w:r w:rsidR="00A64046" w:rsidRPr="0086009F">
        <w:rPr>
          <w:rFonts w:asciiTheme="majorHAnsi" w:hAnsiTheme="majorHAnsi"/>
          <w:sz w:val="26"/>
          <w:szCs w:val="26"/>
        </w:rPr>
        <w:t>о количеству) 48% (по стоимости</w:t>
      </w:r>
      <w:r w:rsidR="008B138B" w:rsidRPr="0086009F">
        <w:rPr>
          <w:rFonts w:asciiTheme="majorHAnsi" w:hAnsiTheme="majorHAnsi"/>
          <w:sz w:val="26"/>
          <w:szCs w:val="26"/>
        </w:rPr>
        <w:t>).</w:t>
      </w:r>
    </w:p>
    <w:p w:rsidR="00BA723C" w:rsidRDefault="00BA723C" w:rsidP="0052292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52292E">
        <w:rPr>
          <w:rFonts w:asciiTheme="majorHAnsi" w:hAnsiTheme="majorHAnsi"/>
          <w:sz w:val="26"/>
          <w:szCs w:val="26"/>
        </w:rPr>
        <w:t>То есть по количеству аукци</w:t>
      </w:r>
      <w:r w:rsidR="0086009F" w:rsidRPr="0052292E">
        <w:rPr>
          <w:rFonts w:asciiTheme="majorHAnsi" w:hAnsiTheme="majorHAnsi"/>
          <w:sz w:val="26"/>
          <w:szCs w:val="26"/>
        </w:rPr>
        <w:t>о</w:t>
      </w:r>
      <w:r w:rsidRPr="0052292E">
        <w:rPr>
          <w:rFonts w:asciiTheme="majorHAnsi" w:hAnsiTheme="majorHAnsi"/>
          <w:sz w:val="26"/>
          <w:szCs w:val="26"/>
        </w:rPr>
        <w:t>нов по вовлеченности в этот процесс строительных организаци</w:t>
      </w:r>
      <w:r w:rsidR="0052292E">
        <w:rPr>
          <w:rFonts w:asciiTheme="majorHAnsi" w:hAnsiTheme="majorHAnsi"/>
          <w:sz w:val="26"/>
          <w:szCs w:val="26"/>
        </w:rPr>
        <w:t>й</w:t>
      </w:r>
      <w:r w:rsidRPr="0052292E">
        <w:rPr>
          <w:rFonts w:asciiTheme="majorHAnsi" w:hAnsiTheme="majorHAnsi"/>
          <w:sz w:val="26"/>
          <w:szCs w:val="26"/>
        </w:rPr>
        <w:t xml:space="preserve"> малого и среднего бизнеса изменений, </w:t>
      </w:r>
      <w:r w:rsidR="006168CF" w:rsidRPr="0052292E">
        <w:rPr>
          <w:rFonts w:asciiTheme="majorHAnsi" w:hAnsiTheme="majorHAnsi"/>
          <w:sz w:val="26"/>
          <w:szCs w:val="26"/>
        </w:rPr>
        <w:t xml:space="preserve">практически, не произошло. </w:t>
      </w:r>
    </w:p>
    <w:p w:rsidR="00F671D1" w:rsidRPr="0052292E" w:rsidRDefault="00F671D1" w:rsidP="0052292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По мнению разработчиков </w:t>
      </w:r>
      <w:r w:rsidR="00F671D1">
        <w:rPr>
          <w:rFonts w:asciiTheme="majorHAnsi" w:eastAsia="Times New Roman" w:hAnsiTheme="majorHAnsi" w:cs="Times New Roman"/>
          <w:bCs/>
          <w:sz w:val="26"/>
          <w:szCs w:val="26"/>
        </w:rPr>
        <w:t xml:space="preserve">вышеуказанного 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проекта распоряжения Правительства Российской Федерации, утверждающего перечень товаров, работ, услуг, в случае осуществления закупок которых заказчик обязан проводить электронный аукцион, закупки в сфере строительства  с начальной (максимальной) ценой контрактов </w:t>
      </w:r>
      <w:r w:rsidRPr="0052292E">
        <w:rPr>
          <w:rFonts w:asciiTheme="majorHAnsi" w:eastAsia="Times New Roman" w:hAnsiTheme="majorHAnsi" w:cs="Times New Roman"/>
          <w:b/>
          <w:bCs/>
          <w:sz w:val="26"/>
          <w:szCs w:val="26"/>
        </w:rPr>
        <w:t>свыше 500 млн. рублей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 не должны осуществляться путем проведения открытых аукционов в электронной форме, поскольку использование такого способа определения подрядчиков не может обеспечить конкурентные преимущества подрядчикам, предлагающим применение современных технологий, нестандартные решения, обеспечивающие высокое качество работ. 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При этом, осуществление закупок в сфере строительства  с начальной (максимальной) ценой контрактов </w:t>
      </w:r>
      <w:r w:rsidRPr="0052292E">
        <w:rPr>
          <w:rFonts w:asciiTheme="majorHAnsi" w:eastAsia="Times New Roman" w:hAnsiTheme="majorHAnsi" w:cs="Times New Roman"/>
          <w:b/>
          <w:bCs/>
          <w:sz w:val="26"/>
          <w:szCs w:val="26"/>
        </w:rPr>
        <w:t>до 500 млн. рублей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 путем проведения открытых аукционов в электронной форме отвечает требованиям эффективности.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>Следуя этой логике, при исполнении контрактов на выполнение строительных работ стоимостью до 500 млн. рублей нет необходимости обеспечивать высокое качество работ, применять современные технологии и др.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>Таким образом,</w:t>
      </w:r>
      <w:r w:rsidRPr="0052292E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критерий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 </w:t>
      </w:r>
      <w:r w:rsidRPr="0052292E">
        <w:rPr>
          <w:rFonts w:asciiTheme="majorHAnsi" w:eastAsia="Times New Roman" w:hAnsiTheme="majorHAnsi" w:cs="Times New Roman"/>
          <w:b/>
          <w:bCs/>
          <w:sz w:val="26"/>
          <w:szCs w:val="26"/>
        </w:rPr>
        <w:t>качества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 </w:t>
      </w:r>
      <w:r w:rsidRPr="0052292E">
        <w:rPr>
          <w:rFonts w:asciiTheme="majorHAnsi" w:eastAsia="Times New Roman" w:hAnsiTheme="majorHAnsi" w:cs="Times New Roman"/>
          <w:b/>
          <w:bCs/>
          <w:sz w:val="26"/>
          <w:szCs w:val="26"/>
        </w:rPr>
        <w:t>работ нивелируется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, а </w:t>
      </w:r>
      <w:r w:rsidRPr="0052292E">
        <w:rPr>
          <w:rFonts w:asciiTheme="majorHAnsi" w:hAnsiTheme="majorHAnsi"/>
          <w:sz w:val="26"/>
          <w:szCs w:val="26"/>
        </w:rPr>
        <w:t xml:space="preserve">добросовестные хозяйствующие субъекты  в лице предприятий малого строительного бизнеса вытесняются с рынка ввиду следующего. 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52292E">
        <w:rPr>
          <w:rFonts w:asciiTheme="majorHAnsi" w:hAnsiTheme="majorHAnsi"/>
          <w:sz w:val="26"/>
          <w:szCs w:val="26"/>
        </w:rPr>
        <w:t>З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начимость роли малого бизнеса для экономики обусловлена рядом причин: 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>- предприятия малого бизнеса представлены узкопрофильными специалистами;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>- предприятия малого бизнеса обладают необходимой ресурсной базой для ведения деятельности  в определенной сфере;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>-малый бизнес мобилен, способен оперативно и эффективно выполнять узконаправленные задачи на разных объектах;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>- малый бизнес способствует развитию инновационных технологий</w:t>
      </w:r>
      <w:r w:rsidR="00F671D1">
        <w:rPr>
          <w:rFonts w:asciiTheme="majorHAnsi" w:eastAsia="Times New Roman" w:hAnsiTheme="majorHAnsi" w:cs="Times New Roman"/>
          <w:bCs/>
          <w:sz w:val="26"/>
          <w:szCs w:val="26"/>
        </w:rPr>
        <w:t xml:space="preserve"> и применению новых материалов, конструкций и изделий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 в своей сфере деятельности.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При этом, использование электронных аукционов на выполнение строительных работ с начальной (максимальной) ценой контрактов до 500 млн. рублей создает возможность для заключения государственных (муниципальных) контрактов с </w:t>
      </w:r>
      <w:r w:rsidRPr="0052292E">
        <w:rPr>
          <w:rFonts w:asciiTheme="majorHAnsi" w:eastAsia="Times New Roman" w:hAnsiTheme="majorHAnsi" w:cs="Times New Roman"/>
          <w:b/>
          <w:bCs/>
          <w:sz w:val="26"/>
          <w:szCs w:val="26"/>
        </w:rPr>
        <w:t>любой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 xml:space="preserve"> компанией, в том числе, не </w:t>
      </w: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lastRenderedPageBreak/>
        <w:t xml:space="preserve">обладающей для исполнения контракта необходимыми ресурсами (специалистами, техникой и т. п.), ввиду отсутствия при проведения открытых аукционов в электронной форме - предквалификации. 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eastAsia="Times New Roman" w:hAnsiTheme="majorHAnsi" w:cs="Times New Roman"/>
          <w:bCs/>
          <w:sz w:val="26"/>
          <w:szCs w:val="26"/>
        </w:rPr>
        <w:t>Единственным критерием соответствия требованиям, предъявляемым к участникам торгов, является наличие свидетельства о допуске к определенному виду или видам работ, которые оказывают влияние на безопасность объектов капитального строительства, которые в настоящее время зачастую выступает объектом купли - продажи.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52292E">
        <w:rPr>
          <w:rFonts w:asciiTheme="majorHAnsi" w:hAnsiTheme="majorHAnsi"/>
          <w:sz w:val="26"/>
          <w:szCs w:val="26"/>
        </w:rPr>
        <w:t xml:space="preserve">Такие компании, готовы заключать государственные (муниципальные) контракты вне зависимости от специфики работ, выполнение которых входит в предмет контракта, вне зависимости от процента снижения начальной максимальной цены и т. п. 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52292E">
        <w:rPr>
          <w:rFonts w:asciiTheme="majorHAnsi" w:hAnsiTheme="majorHAnsi"/>
          <w:sz w:val="26"/>
          <w:szCs w:val="26"/>
        </w:rPr>
        <w:t>Цель таких  подрядчиков победить в торгах, после чего либо полностью передать исполнение контракта сторонним, зачастую «сомнительным» организациям по причине низкой стоимости их работы, либо выполнять своими силами, что как правило, приводит к плачевному результату ввиду отсутствия необходимой ресурсной базы.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hAnsiTheme="majorHAnsi"/>
          <w:sz w:val="26"/>
          <w:szCs w:val="26"/>
        </w:rPr>
      </w:pPr>
      <w:r w:rsidRPr="0052292E">
        <w:rPr>
          <w:rFonts w:asciiTheme="majorHAnsi" w:hAnsiTheme="majorHAnsi"/>
          <w:sz w:val="26"/>
          <w:szCs w:val="26"/>
        </w:rPr>
        <w:t xml:space="preserve">Таким образом, критерии квалифицированности специалистов, материально-техническое оснащение предприятия и другие отходят на второй план, проигрывая основополагающему принципу внедрения электронных торгов </w:t>
      </w:r>
      <w:r w:rsidR="003A7928">
        <w:rPr>
          <w:rFonts w:asciiTheme="majorHAnsi" w:hAnsiTheme="majorHAnsi"/>
          <w:sz w:val="26"/>
          <w:szCs w:val="26"/>
        </w:rPr>
        <w:t>–</w:t>
      </w:r>
      <w:r w:rsidRPr="0052292E">
        <w:rPr>
          <w:rFonts w:asciiTheme="majorHAnsi" w:hAnsiTheme="majorHAnsi"/>
          <w:sz w:val="26"/>
          <w:szCs w:val="26"/>
        </w:rPr>
        <w:t xml:space="preserve"> </w:t>
      </w:r>
      <w:r w:rsidR="003A7928">
        <w:rPr>
          <w:rFonts w:asciiTheme="majorHAnsi" w:hAnsiTheme="majorHAnsi"/>
          <w:sz w:val="26"/>
          <w:szCs w:val="26"/>
        </w:rPr>
        <w:t>учету ценового фактора (</w:t>
      </w:r>
      <w:r w:rsidRPr="0052292E">
        <w:rPr>
          <w:rFonts w:asciiTheme="majorHAnsi" w:hAnsiTheme="majorHAnsi"/>
          <w:sz w:val="26"/>
          <w:szCs w:val="26"/>
        </w:rPr>
        <w:t>экономии бюджетных средств</w:t>
      </w:r>
      <w:r w:rsidR="003A7928">
        <w:rPr>
          <w:rFonts w:asciiTheme="majorHAnsi" w:hAnsiTheme="majorHAnsi"/>
          <w:sz w:val="26"/>
          <w:szCs w:val="26"/>
        </w:rPr>
        <w:t>)</w:t>
      </w:r>
      <w:r w:rsidRPr="0052292E">
        <w:rPr>
          <w:rFonts w:asciiTheme="majorHAnsi" w:hAnsiTheme="majorHAnsi"/>
          <w:sz w:val="26"/>
          <w:szCs w:val="26"/>
        </w:rPr>
        <w:t>, котор</w:t>
      </w:r>
      <w:r w:rsidR="003A7928">
        <w:rPr>
          <w:rFonts w:asciiTheme="majorHAnsi" w:hAnsiTheme="majorHAnsi"/>
          <w:sz w:val="26"/>
          <w:szCs w:val="26"/>
        </w:rPr>
        <w:t>ый</w:t>
      </w:r>
      <w:r w:rsidRPr="0052292E">
        <w:rPr>
          <w:rFonts w:asciiTheme="majorHAnsi" w:hAnsiTheme="majorHAnsi"/>
          <w:sz w:val="26"/>
          <w:szCs w:val="26"/>
        </w:rPr>
        <w:t xml:space="preserve"> в свою очередь достигается за счет снижения качества, уровня безопасности.</w:t>
      </w:r>
    </w:p>
    <w:p w:rsidR="00D63A83" w:rsidRPr="0052292E" w:rsidRDefault="00D63A83" w:rsidP="0052292E">
      <w:pPr>
        <w:pStyle w:val="a4"/>
        <w:ind w:firstLine="567"/>
        <w:jc w:val="both"/>
        <w:rPr>
          <w:rFonts w:asciiTheme="majorHAnsi" w:eastAsia="Times New Roman" w:hAnsiTheme="majorHAnsi" w:cs="Times New Roman"/>
          <w:bCs/>
          <w:sz w:val="26"/>
          <w:szCs w:val="26"/>
        </w:rPr>
      </w:pPr>
      <w:r w:rsidRPr="0052292E">
        <w:rPr>
          <w:rFonts w:asciiTheme="majorHAnsi" w:hAnsiTheme="majorHAnsi"/>
          <w:sz w:val="26"/>
          <w:szCs w:val="26"/>
        </w:rPr>
        <w:t xml:space="preserve">В этой связи, </w:t>
      </w:r>
      <w:r w:rsidR="00C210E0">
        <w:rPr>
          <w:rFonts w:asciiTheme="majorHAnsi" w:hAnsiTheme="majorHAnsi"/>
          <w:sz w:val="26"/>
          <w:szCs w:val="26"/>
        </w:rPr>
        <w:t xml:space="preserve">реальные </w:t>
      </w:r>
      <w:r w:rsidRPr="0052292E">
        <w:rPr>
          <w:rFonts w:asciiTheme="majorHAnsi" w:hAnsiTheme="majorHAnsi"/>
          <w:sz w:val="26"/>
          <w:szCs w:val="26"/>
        </w:rPr>
        <w:t xml:space="preserve">предприятия малого бизнеса </w:t>
      </w:r>
      <w:r w:rsidR="00C210E0">
        <w:rPr>
          <w:rFonts w:asciiTheme="majorHAnsi" w:hAnsiTheme="majorHAnsi"/>
          <w:sz w:val="26"/>
          <w:szCs w:val="26"/>
        </w:rPr>
        <w:t xml:space="preserve">строительной отрасли </w:t>
      </w:r>
      <w:r w:rsidRPr="0052292E">
        <w:rPr>
          <w:rFonts w:asciiTheme="majorHAnsi" w:hAnsiTheme="majorHAnsi"/>
          <w:sz w:val="26"/>
          <w:szCs w:val="26"/>
        </w:rPr>
        <w:t>не выдерживают конкуренции с выше</w:t>
      </w:r>
      <w:r w:rsidR="00C210E0">
        <w:rPr>
          <w:rFonts w:asciiTheme="majorHAnsi" w:hAnsiTheme="majorHAnsi"/>
          <w:sz w:val="26"/>
          <w:szCs w:val="26"/>
        </w:rPr>
        <w:t xml:space="preserve"> </w:t>
      </w:r>
      <w:r w:rsidRPr="0052292E">
        <w:rPr>
          <w:rFonts w:asciiTheme="majorHAnsi" w:hAnsiTheme="majorHAnsi"/>
          <w:sz w:val="26"/>
          <w:szCs w:val="26"/>
        </w:rPr>
        <w:t>обозначенными</w:t>
      </w:r>
      <w:r w:rsidR="00C210E0">
        <w:rPr>
          <w:rFonts w:asciiTheme="majorHAnsi" w:hAnsiTheme="majorHAnsi"/>
          <w:sz w:val="26"/>
          <w:szCs w:val="26"/>
        </w:rPr>
        <w:t xml:space="preserve"> сомнительными </w:t>
      </w:r>
      <w:r w:rsidRPr="0052292E">
        <w:rPr>
          <w:rFonts w:asciiTheme="majorHAnsi" w:hAnsiTheme="majorHAnsi"/>
          <w:sz w:val="26"/>
          <w:szCs w:val="26"/>
        </w:rPr>
        <w:t xml:space="preserve">компаниями и экономически обречены, а </w:t>
      </w:r>
      <w:r w:rsidR="00C210E0">
        <w:rPr>
          <w:rFonts w:asciiTheme="majorHAnsi" w:hAnsiTheme="majorHAnsi"/>
          <w:sz w:val="26"/>
          <w:szCs w:val="26"/>
        </w:rPr>
        <w:t xml:space="preserve">стремление к </w:t>
      </w:r>
      <w:r w:rsidRPr="0052292E">
        <w:rPr>
          <w:rFonts w:asciiTheme="majorHAnsi" w:hAnsiTheme="majorHAnsi"/>
          <w:sz w:val="26"/>
          <w:szCs w:val="26"/>
        </w:rPr>
        <w:t>поваль</w:t>
      </w:r>
      <w:r w:rsidR="00C210E0">
        <w:rPr>
          <w:rFonts w:asciiTheme="majorHAnsi" w:hAnsiTheme="majorHAnsi"/>
          <w:sz w:val="26"/>
          <w:szCs w:val="26"/>
        </w:rPr>
        <w:t>ной</w:t>
      </w:r>
      <w:r w:rsidRPr="0052292E">
        <w:rPr>
          <w:rFonts w:asciiTheme="majorHAnsi" w:hAnsiTheme="majorHAnsi"/>
          <w:sz w:val="26"/>
          <w:szCs w:val="26"/>
        </w:rPr>
        <w:t xml:space="preserve"> экономи</w:t>
      </w:r>
      <w:r w:rsidR="00C210E0">
        <w:rPr>
          <w:rFonts w:asciiTheme="majorHAnsi" w:hAnsiTheme="majorHAnsi"/>
          <w:sz w:val="26"/>
          <w:szCs w:val="26"/>
        </w:rPr>
        <w:t>и</w:t>
      </w:r>
      <w:r w:rsidRPr="0052292E">
        <w:rPr>
          <w:rFonts w:asciiTheme="majorHAnsi" w:hAnsiTheme="majorHAnsi"/>
          <w:sz w:val="26"/>
          <w:szCs w:val="26"/>
        </w:rPr>
        <w:t xml:space="preserve"> бюджетных средств при осуществлении закупок в сфере строительства подменяет собой качество при выполнении работ.</w:t>
      </w:r>
    </w:p>
    <w:p w:rsidR="00D63A83" w:rsidRDefault="00D63A83" w:rsidP="00D63A83">
      <w:pPr>
        <w:spacing w:line="360" w:lineRule="auto"/>
        <w:ind w:firstLine="284"/>
        <w:jc w:val="both"/>
        <w:rPr>
          <w:rFonts w:asciiTheme="majorHAnsi" w:eastAsia="Times New Roman" w:hAnsiTheme="majorHAnsi" w:cs="Times New Roman"/>
          <w:bCs/>
        </w:rPr>
      </w:pPr>
    </w:p>
    <w:p w:rsidR="00F51D14" w:rsidRDefault="00F51D14" w:rsidP="00F51D14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F51D14">
        <w:rPr>
          <w:rFonts w:asciiTheme="majorHAnsi" w:hAnsiTheme="majorHAnsi"/>
          <w:sz w:val="26"/>
          <w:szCs w:val="26"/>
        </w:rPr>
        <w:t>Генеральный директор</w:t>
      </w:r>
    </w:p>
    <w:p w:rsidR="00F51D14" w:rsidRPr="00F51D14" w:rsidRDefault="00F51D14" w:rsidP="00F51D14">
      <w:pPr>
        <w:pStyle w:val="a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НП СРО «Сахалинстрой»</w:t>
      </w:r>
      <w:r w:rsidRPr="00F51D14">
        <w:rPr>
          <w:rFonts w:asciiTheme="majorHAnsi" w:hAnsiTheme="majorHAnsi"/>
          <w:sz w:val="26"/>
          <w:szCs w:val="26"/>
        </w:rPr>
        <w:t xml:space="preserve">, </w:t>
      </w:r>
    </w:p>
    <w:p w:rsidR="00F51D14" w:rsidRDefault="00F51D14" w:rsidP="00F51D14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F51D14">
        <w:rPr>
          <w:rFonts w:asciiTheme="majorHAnsi" w:hAnsiTheme="majorHAnsi"/>
          <w:sz w:val="26"/>
          <w:szCs w:val="26"/>
        </w:rPr>
        <w:t xml:space="preserve">Председатель </w:t>
      </w:r>
    </w:p>
    <w:p w:rsidR="00F51D14" w:rsidRPr="00F51D14" w:rsidRDefault="00F51D14" w:rsidP="00F51D14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F51D14">
        <w:rPr>
          <w:rFonts w:asciiTheme="majorHAnsi" w:hAnsiTheme="majorHAnsi"/>
          <w:sz w:val="26"/>
          <w:szCs w:val="26"/>
        </w:rPr>
        <w:t>Комитета НОСТРОЙ</w:t>
      </w:r>
    </w:p>
    <w:p w:rsidR="00F51D14" w:rsidRDefault="00F51D14" w:rsidP="00F51D14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F51D14">
        <w:rPr>
          <w:rFonts w:asciiTheme="majorHAnsi" w:hAnsiTheme="majorHAnsi"/>
          <w:sz w:val="26"/>
          <w:szCs w:val="26"/>
        </w:rPr>
        <w:t xml:space="preserve">по конкурентной политике </w:t>
      </w:r>
    </w:p>
    <w:p w:rsidR="00F51D14" w:rsidRPr="00F51D14" w:rsidRDefault="00F51D14" w:rsidP="00F51D14">
      <w:pPr>
        <w:pStyle w:val="a4"/>
        <w:jc w:val="both"/>
        <w:rPr>
          <w:rFonts w:asciiTheme="majorHAnsi" w:hAnsiTheme="majorHAnsi"/>
          <w:sz w:val="26"/>
          <w:szCs w:val="26"/>
        </w:rPr>
      </w:pPr>
      <w:r w:rsidRPr="00F51D14">
        <w:rPr>
          <w:rFonts w:asciiTheme="majorHAnsi" w:hAnsiTheme="majorHAnsi"/>
          <w:sz w:val="26"/>
          <w:szCs w:val="26"/>
        </w:rPr>
        <w:t xml:space="preserve">и закупкам в строительстве                     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    </w:t>
      </w:r>
      <w:r w:rsidRPr="00F51D14">
        <w:rPr>
          <w:rFonts w:asciiTheme="majorHAnsi" w:hAnsiTheme="majorHAnsi"/>
          <w:sz w:val="26"/>
          <w:szCs w:val="26"/>
        </w:rPr>
        <w:t xml:space="preserve">     В.П. Мозолевский</w:t>
      </w:r>
    </w:p>
    <w:p w:rsidR="00F51D14" w:rsidRPr="00CB2873" w:rsidRDefault="00F51D14" w:rsidP="00D63A83">
      <w:pPr>
        <w:spacing w:line="360" w:lineRule="auto"/>
        <w:ind w:firstLine="284"/>
        <w:jc w:val="both"/>
        <w:rPr>
          <w:rFonts w:asciiTheme="majorHAnsi" w:eastAsia="Times New Roman" w:hAnsiTheme="majorHAnsi" w:cs="Times New Roman"/>
          <w:bCs/>
        </w:rPr>
      </w:pPr>
    </w:p>
    <w:p w:rsidR="008B138B" w:rsidRPr="00C51E3A" w:rsidRDefault="008B138B" w:rsidP="00C51E3A">
      <w:pPr>
        <w:pStyle w:val="a9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3C0EE7" w:rsidRPr="00A04D11" w:rsidRDefault="003C0EE7" w:rsidP="00A04D11">
      <w:pPr>
        <w:pStyle w:val="a4"/>
        <w:ind w:firstLine="567"/>
        <w:jc w:val="center"/>
        <w:rPr>
          <w:rFonts w:asciiTheme="majorHAnsi" w:hAnsiTheme="majorHAnsi" w:cs="Times New Roman"/>
          <w:sz w:val="26"/>
          <w:szCs w:val="26"/>
        </w:rPr>
      </w:pPr>
    </w:p>
    <w:sectPr w:rsidR="003C0EE7" w:rsidRPr="00A04D11" w:rsidSect="00F51D14">
      <w:footerReference w:type="default" r:id="rId7"/>
      <w:type w:val="continuous"/>
      <w:pgSz w:w="11905" w:h="16837"/>
      <w:pgMar w:top="1418" w:right="848" w:bottom="1843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A1" w:rsidRDefault="002128A1" w:rsidP="00820C49">
      <w:r>
        <w:separator/>
      </w:r>
    </w:p>
  </w:endnote>
  <w:endnote w:type="continuationSeparator" w:id="0">
    <w:p w:rsidR="002128A1" w:rsidRDefault="002128A1" w:rsidP="0082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813"/>
      <w:docPartObj>
        <w:docPartGallery w:val="Page Numbers (Bottom of Page)"/>
        <w:docPartUnique/>
      </w:docPartObj>
    </w:sdtPr>
    <w:sdtContent>
      <w:p w:rsidR="0030480A" w:rsidRDefault="00C9277A">
        <w:pPr>
          <w:pStyle w:val="a7"/>
          <w:jc w:val="right"/>
        </w:pPr>
        <w:fldSimple w:instr=" PAGE   \* MERGEFORMAT ">
          <w:r w:rsidR="000D3241">
            <w:rPr>
              <w:noProof/>
            </w:rPr>
            <w:t>10</w:t>
          </w:r>
        </w:fldSimple>
      </w:p>
    </w:sdtContent>
  </w:sdt>
  <w:p w:rsidR="00BA723C" w:rsidRDefault="00BA7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A1" w:rsidRDefault="002128A1"/>
  </w:footnote>
  <w:footnote w:type="continuationSeparator" w:id="0">
    <w:p w:rsidR="002128A1" w:rsidRDefault="002128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2D9"/>
    <w:multiLevelType w:val="hybridMultilevel"/>
    <w:tmpl w:val="2F52BE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1D6ABC"/>
    <w:multiLevelType w:val="hybridMultilevel"/>
    <w:tmpl w:val="1128A4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960BEA"/>
    <w:multiLevelType w:val="hybridMultilevel"/>
    <w:tmpl w:val="70CCC4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4E431A"/>
    <w:multiLevelType w:val="multilevel"/>
    <w:tmpl w:val="F1D62A3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5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C06D6"/>
    <w:multiLevelType w:val="hybridMultilevel"/>
    <w:tmpl w:val="FBB2A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0C49"/>
    <w:rsid w:val="00007B2D"/>
    <w:rsid w:val="0008336F"/>
    <w:rsid w:val="000C22E5"/>
    <w:rsid w:val="000D3241"/>
    <w:rsid w:val="000F26CB"/>
    <w:rsid w:val="0021183D"/>
    <w:rsid w:val="002128A1"/>
    <w:rsid w:val="002423EC"/>
    <w:rsid w:val="00243722"/>
    <w:rsid w:val="00245AF9"/>
    <w:rsid w:val="00270DA7"/>
    <w:rsid w:val="002811EF"/>
    <w:rsid w:val="00292E90"/>
    <w:rsid w:val="002B1B5E"/>
    <w:rsid w:val="00302528"/>
    <w:rsid w:val="0030480A"/>
    <w:rsid w:val="003247F0"/>
    <w:rsid w:val="003411A6"/>
    <w:rsid w:val="0034489E"/>
    <w:rsid w:val="00376E0B"/>
    <w:rsid w:val="003A7928"/>
    <w:rsid w:val="003B7FED"/>
    <w:rsid w:val="003C0EE7"/>
    <w:rsid w:val="0040234F"/>
    <w:rsid w:val="004113CE"/>
    <w:rsid w:val="004571E2"/>
    <w:rsid w:val="004A6E4E"/>
    <w:rsid w:val="004C02CF"/>
    <w:rsid w:val="0052292E"/>
    <w:rsid w:val="00545C98"/>
    <w:rsid w:val="00602EBC"/>
    <w:rsid w:val="00611D8C"/>
    <w:rsid w:val="006168CF"/>
    <w:rsid w:val="00635134"/>
    <w:rsid w:val="00673056"/>
    <w:rsid w:val="00682188"/>
    <w:rsid w:val="006A01AF"/>
    <w:rsid w:val="006C049C"/>
    <w:rsid w:val="006F36C2"/>
    <w:rsid w:val="00707377"/>
    <w:rsid w:val="00712B57"/>
    <w:rsid w:val="00750CBA"/>
    <w:rsid w:val="007516CA"/>
    <w:rsid w:val="007539F3"/>
    <w:rsid w:val="00762D39"/>
    <w:rsid w:val="007669E8"/>
    <w:rsid w:val="0077794B"/>
    <w:rsid w:val="007A7603"/>
    <w:rsid w:val="007D19C0"/>
    <w:rsid w:val="008111DE"/>
    <w:rsid w:val="00813D75"/>
    <w:rsid w:val="00820C49"/>
    <w:rsid w:val="0086009F"/>
    <w:rsid w:val="008616D7"/>
    <w:rsid w:val="00882FDD"/>
    <w:rsid w:val="00884EE5"/>
    <w:rsid w:val="008B138B"/>
    <w:rsid w:val="008E6BAC"/>
    <w:rsid w:val="00900E0B"/>
    <w:rsid w:val="00901965"/>
    <w:rsid w:val="00920CB0"/>
    <w:rsid w:val="00995DD7"/>
    <w:rsid w:val="00A04D11"/>
    <w:rsid w:val="00A56274"/>
    <w:rsid w:val="00A64046"/>
    <w:rsid w:val="00A8183C"/>
    <w:rsid w:val="00AA38D6"/>
    <w:rsid w:val="00AB5678"/>
    <w:rsid w:val="00AC7909"/>
    <w:rsid w:val="00AE069A"/>
    <w:rsid w:val="00B130D3"/>
    <w:rsid w:val="00BA723C"/>
    <w:rsid w:val="00C0353A"/>
    <w:rsid w:val="00C12577"/>
    <w:rsid w:val="00C13400"/>
    <w:rsid w:val="00C210E0"/>
    <w:rsid w:val="00C51E3A"/>
    <w:rsid w:val="00C9277A"/>
    <w:rsid w:val="00C968AD"/>
    <w:rsid w:val="00CA5472"/>
    <w:rsid w:val="00CB79F8"/>
    <w:rsid w:val="00CD7461"/>
    <w:rsid w:val="00CF5D72"/>
    <w:rsid w:val="00D1799D"/>
    <w:rsid w:val="00D63A83"/>
    <w:rsid w:val="00DA089B"/>
    <w:rsid w:val="00E00958"/>
    <w:rsid w:val="00E00A5A"/>
    <w:rsid w:val="00E10BB4"/>
    <w:rsid w:val="00E1583D"/>
    <w:rsid w:val="00E31104"/>
    <w:rsid w:val="00E34F3E"/>
    <w:rsid w:val="00E374C2"/>
    <w:rsid w:val="00E43371"/>
    <w:rsid w:val="00E60672"/>
    <w:rsid w:val="00EA658F"/>
    <w:rsid w:val="00EE56E8"/>
    <w:rsid w:val="00EF2A00"/>
    <w:rsid w:val="00F0019F"/>
    <w:rsid w:val="00F3656A"/>
    <w:rsid w:val="00F51D14"/>
    <w:rsid w:val="00F671D1"/>
    <w:rsid w:val="00FD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C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C49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820C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">
    <w:name w:val="Body text_"/>
    <w:basedOn w:val="a0"/>
    <w:link w:val="Bodytext1"/>
    <w:rsid w:val="00820C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Bold">
    <w:name w:val="Body text + Bold"/>
    <w:basedOn w:val="Bodytext"/>
    <w:rsid w:val="00820C49"/>
    <w:rPr>
      <w:b/>
      <w:bCs/>
      <w:spacing w:val="10"/>
    </w:rPr>
  </w:style>
  <w:style w:type="character" w:customStyle="1" w:styleId="Bodytext145ptScaling70">
    <w:name w:val="Body text + 14;5 pt;Scaling 70%"/>
    <w:basedOn w:val="Bodytext"/>
    <w:rsid w:val="00820C49"/>
    <w:rPr>
      <w:spacing w:val="10"/>
      <w:w w:val="70"/>
      <w:sz w:val="29"/>
      <w:szCs w:val="29"/>
    </w:rPr>
  </w:style>
  <w:style w:type="character" w:customStyle="1" w:styleId="BodytextBoldItalic">
    <w:name w:val="Body text + Bold;Italic"/>
    <w:basedOn w:val="Bodytext"/>
    <w:rsid w:val="00820C49"/>
    <w:rPr>
      <w:b/>
      <w:bCs/>
      <w:i/>
      <w:iCs/>
      <w:spacing w:val="10"/>
    </w:rPr>
  </w:style>
  <w:style w:type="character" w:customStyle="1" w:styleId="BodytextBold3">
    <w:name w:val="Body text + Bold3"/>
    <w:basedOn w:val="Bodytext"/>
    <w:rsid w:val="00820C49"/>
    <w:rPr>
      <w:b/>
      <w:bCs/>
      <w:spacing w:val="10"/>
    </w:rPr>
  </w:style>
  <w:style w:type="character" w:customStyle="1" w:styleId="Bodytext0">
    <w:name w:val="Body text"/>
    <w:basedOn w:val="Bodytext"/>
    <w:rsid w:val="00820C49"/>
    <w:rPr>
      <w:spacing w:val="10"/>
      <w:sz w:val="21"/>
      <w:szCs w:val="21"/>
    </w:rPr>
  </w:style>
  <w:style w:type="character" w:customStyle="1" w:styleId="Bodytext2">
    <w:name w:val="Body text (2)_"/>
    <w:basedOn w:val="a0"/>
    <w:link w:val="Bodytext20"/>
    <w:rsid w:val="00820C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820C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Bold2">
    <w:name w:val="Body text + Bold2"/>
    <w:basedOn w:val="Bodytext"/>
    <w:rsid w:val="00820C49"/>
    <w:rPr>
      <w:b/>
      <w:bCs/>
      <w:spacing w:val="10"/>
    </w:rPr>
  </w:style>
  <w:style w:type="character" w:customStyle="1" w:styleId="BodytextBold1">
    <w:name w:val="Body text + Bold1"/>
    <w:basedOn w:val="Bodytext"/>
    <w:rsid w:val="00820C49"/>
    <w:rPr>
      <w:b/>
      <w:bCs/>
      <w:spacing w:val="10"/>
    </w:rPr>
  </w:style>
  <w:style w:type="character" w:customStyle="1" w:styleId="Bodytext4">
    <w:name w:val="Body text (4)_"/>
    <w:basedOn w:val="a0"/>
    <w:link w:val="Bodytext40"/>
    <w:rsid w:val="00820C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2BookmanOldStyle105ptNotItalicSpacing0pt">
    <w:name w:val="Body text (2) + Bookman Old Style;10;5 pt;Not Italic;Spacing 0 pt"/>
    <w:basedOn w:val="Bodytext2"/>
    <w:rsid w:val="00820C49"/>
    <w:rPr>
      <w:rFonts w:ascii="Bookman Old Style" w:eastAsia="Bookman Old Style" w:hAnsi="Bookman Old Style" w:cs="Bookman Old Style"/>
      <w:i/>
      <w:iCs/>
      <w:spacing w:val="10"/>
      <w:sz w:val="21"/>
      <w:szCs w:val="21"/>
    </w:rPr>
  </w:style>
  <w:style w:type="character" w:customStyle="1" w:styleId="Heading2">
    <w:name w:val="Heading #2_"/>
    <w:basedOn w:val="a0"/>
    <w:link w:val="Heading20"/>
    <w:rsid w:val="00820C4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145ptScaling701">
    <w:name w:val="Body text + 14;5 pt;Scaling 70%1"/>
    <w:basedOn w:val="Bodytext"/>
    <w:rsid w:val="00820C49"/>
    <w:rPr>
      <w:spacing w:val="10"/>
      <w:w w:val="70"/>
      <w:sz w:val="29"/>
      <w:szCs w:val="29"/>
    </w:rPr>
  </w:style>
  <w:style w:type="paragraph" w:customStyle="1" w:styleId="Heading10">
    <w:name w:val="Heading #1"/>
    <w:basedOn w:val="a"/>
    <w:link w:val="Heading1"/>
    <w:rsid w:val="00820C49"/>
    <w:pPr>
      <w:shd w:val="clear" w:color="auto" w:fill="FFFFFF"/>
      <w:spacing w:after="660" w:line="418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10"/>
    </w:rPr>
  </w:style>
  <w:style w:type="paragraph" w:customStyle="1" w:styleId="Bodytext1">
    <w:name w:val="Body text1"/>
    <w:basedOn w:val="a"/>
    <w:link w:val="Bodytext"/>
    <w:rsid w:val="00820C49"/>
    <w:pPr>
      <w:shd w:val="clear" w:color="auto" w:fill="FFFFFF"/>
      <w:spacing w:before="660" w:after="120" w:line="350" w:lineRule="exact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Bodytext20">
    <w:name w:val="Body text (2)"/>
    <w:basedOn w:val="a"/>
    <w:link w:val="Bodytext2"/>
    <w:rsid w:val="00820C49"/>
    <w:pPr>
      <w:shd w:val="clear" w:color="auto" w:fill="FFFFFF"/>
      <w:spacing w:after="180" w:line="317" w:lineRule="exact"/>
      <w:jc w:val="both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Bodytext30">
    <w:name w:val="Body text (3)"/>
    <w:basedOn w:val="a"/>
    <w:link w:val="Bodytext3"/>
    <w:rsid w:val="00820C49"/>
    <w:pPr>
      <w:shd w:val="clear" w:color="auto" w:fill="FFFFFF"/>
      <w:spacing w:before="180" w:after="180" w:line="298" w:lineRule="exact"/>
      <w:ind w:firstLine="840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21"/>
      <w:szCs w:val="21"/>
    </w:rPr>
  </w:style>
  <w:style w:type="paragraph" w:customStyle="1" w:styleId="Bodytext40">
    <w:name w:val="Body text (4)"/>
    <w:basedOn w:val="a"/>
    <w:link w:val="Bodytext4"/>
    <w:rsid w:val="00820C49"/>
    <w:pPr>
      <w:shd w:val="clear" w:color="auto" w:fill="FFFFFF"/>
      <w:spacing w:before="120" w:after="120" w:line="302" w:lineRule="exact"/>
      <w:ind w:firstLine="860"/>
      <w:jc w:val="both"/>
    </w:pPr>
    <w:rPr>
      <w:rFonts w:ascii="Bookman Old Style" w:eastAsia="Bookman Old Style" w:hAnsi="Bookman Old Style" w:cs="Bookman Old Style"/>
      <w:b/>
      <w:bCs/>
      <w:spacing w:val="10"/>
      <w:sz w:val="21"/>
      <w:szCs w:val="21"/>
    </w:rPr>
  </w:style>
  <w:style w:type="paragraph" w:customStyle="1" w:styleId="Heading20">
    <w:name w:val="Heading #2"/>
    <w:basedOn w:val="a"/>
    <w:link w:val="Heading2"/>
    <w:rsid w:val="00820C49"/>
    <w:pPr>
      <w:shd w:val="clear" w:color="auto" w:fill="FFFFFF"/>
      <w:spacing w:before="120" w:after="120" w:line="312" w:lineRule="exact"/>
      <w:ind w:firstLine="840"/>
      <w:jc w:val="both"/>
      <w:outlineLvl w:val="1"/>
    </w:pPr>
    <w:rPr>
      <w:rFonts w:ascii="Bookman Old Style" w:eastAsia="Bookman Old Style" w:hAnsi="Bookman Old Style" w:cs="Bookman Old Style"/>
      <w:b/>
      <w:bCs/>
      <w:spacing w:val="10"/>
      <w:sz w:val="21"/>
      <w:szCs w:val="21"/>
    </w:rPr>
  </w:style>
  <w:style w:type="paragraph" w:styleId="a4">
    <w:name w:val="No Spacing"/>
    <w:uiPriority w:val="1"/>
    <w:qFormat/>
    <w:rsid w:val="004C02CF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A04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D11"/>
    <w:rPr>
      <w:color w:val="000000"/>
    </w:rPr>
  </w:style>
  <w:style w:type="paragraph" w:styleId="a7">
    <w:name w:val="footer"/>
    <w:basedOn w:val="a"/>
    <w:link w:val="a8"/>
    <w:uiPriority w:val="99"/>
    <w:unhideWhenUsed/>
    <w:rsid w:val="00A04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D11"/>
    <w:rPr>
      <w:color w:val="000000"/>
    </w:rPr>
  </w:style>
  <w:style w:type="paragraph" w:styleId="a9">
    <w:name w:val="Normal (Web)"/>
    <w:basedOn w:val="a"/>
    <w:uiPriority w:val="99"/>
    <w:unhideWhenUsed/>
    <w:rsid w:val="003C0E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3C0EE7"/>
    <w:rPr>
      <w:b/>
      <w:bCs/>
    </w:rPr>
  </w:style>
  <w:style w:type="character" w:customStyle="1" w:styleId="ab">
    <w:name w:val="Гипертекстовая ссылка"/>
    <w:basedOn w:val="a0"/>
    <w:uiPriority w:val="99"/>
    <w:rsid w:val="00673056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67305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73056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Павликова</dc:creator>
  <cp:keywords/>
  <dc:description/>
  <cp:lastModifiedBy>Рогальская</cp:lastModifiedBy>
  <cp:revision>9</cp:revision>
  <cp:lastPrinted>2013-09-17T05:28:00Z</cp:lastPrinted>
  <dcterms:created xsi:type="dcterms:W3CDTF">2013-09-17T01:53:00Z</dcterms:created>
  <dcterms:modified xsi:type="dcterms:W3CDTF">2013-09-17T06:02:00Z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